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rsidR="0026532E" w14:paraId="09C3B2D0" w14:textId="77777777">
      <w:pPr>
        <w:pStyle w:val="BodyText"/>
        <w:rPr>
          <w:rFonts w:ascii="Times New Roman"/>
          <w:sz w:val="20"/>
        </w:rPr>
      </w:pPr>
      <w:r>
        <w:rPr>
          <w:rFonts w:ascii="Times New Roman"/>
          <w:noProof/>
          <w:sz w:val="20"/>
          <w:lang w:eastAsia="nb-NO"/>
        </w:rPr>
        <w:drawing>
          <wp:anchor distT="0" distB="0" distL="114300" distR="114300" simplePos="0" relativeHeight="251660288" behindDoc="0" locked="0" layoutInCell="1" allowOverlap="1">
            <wp:simplePos x="0" y="0"/>
            <wp:positionH relativeFrom="margin">
              <wp:align>right</wp:align>
            </wp:positionH>
            <wp:positionV relativeFrom="margin">
              <wp:posOffset>-1074420</wp:posOffset>
            </wp:positionV>
            <wp:extent cx="2160000" cy="470066"/>
            <wp:effectExtent l="0" t="0" r="0" b="635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S-284_287-Grd_redusert.jp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60000" cy="470066"/>
                    </a:xfrm>
                    <a:prstGeom prst="rect">
                      <a:avLst/>
                    </a:prstGeom>
                  </pic:spPr>
                </pic:pic>
              </a:graphicData>
            </a:graphic>
          </wp:anchor>
        </w:drawing>
      </w:r>
    </w:p>
    <w:p w:rsidR="0026532E" w14:paraId="33AF922E" w14:textId="77777777">
      <w:pPr>
        <w:pStyle w:val="BodyText"/>
        <w:rPr>
          <w:rFonts w:ascii="Times New Roman"/>
          <w:sz w:val="20"/>
        </w:rPr>
      </w:pPr>
    </w:p>
    <w:p w:rsidR="0026532E" w14:paraId="7187C686" w14:textId="77777777">
      <w:pPr>
        <w:pStyle w:val="BodyText"/>
        <w:rPr>
          <w:rFonts w:ascii="Times New Roman"/>
          <w:sz w:val="20"/>
        </w:rPr>
      </w:pPr>
    </w:p>
    <w:p w:rsidR="0026532E" w:rsidRPr="00950B20" w:rsidP="00950B20" w14:paraId="00D7FE64" w14:textId="510907BC">
      <w:pPr>
        <w:pStyle w:val="Title"/>
        <w:ind w:left="0"/>
        <w:jc w:val="left"/>
        <w:rPr>
          <w:b w:val="0"/>
        </w:rPr>
      </w:pPr>
      <w:r>
        <w:rPr>
          <w:b w:val="0"/>
        </w:rPr>
        <w:t xml:space="preserve">Plan for </w:t>
      </w:r>
      <w:r w:rsidR="00FE0684">
        <w:rPr>
          <w:b w:val="0"/>
        </w:rPr>
        <w:t>innføring -</w:t>
      </w:r>
    </w:p>
    <w:p w:rsidR="0026532E" w:rsidRPr="00950B20" w:rsidP="00950B20" w14:paraId="7946F19B" w14:textId="77777777">
      <w:pPr>
        <w:pStyle w:val="Title"/>
        <w:spacing w:before="285" w:line="278" w:lineRule="auto"/>
        <w:ind w:left="3"/>
        <w:jc w:val="left"/>
        <w:rPr>
          <w:color w:val="244061" w:themeColor="accent1" w:themeShade="80"/>
          <w:sz w:val="72"/>
          <w:szCs w:val="72"/>
        </w:rPr>
      </w:pPr>
      <w:r w:rsidRPr="00950B20">
        <w:rPr>
          <w:color w:val="244061" w:themeColor="accent1" w:themeShade="80"/>
          <w:sz w:val="72"/>
          <w:szCs w:val="72"/>
        </w:rPr>
        <w:t>L</w:t>
      </w:r>
      <w:r w:rsidRPr="00950B20" w:rsidR="001C5F71">
        <w:rPr>
          <w:color w:val="244061" w:themeColor="accent1" w:themeShade="80"/>
          <w:sz w:val="72"/>
          <w:szCs w:val="72"/>
        </w:rPr>
        <w:t xml:space="preserve">ukket legemiddelsløyfe i </w:t>
      </w:r>
      <w:r w:rsidRPr="00950B20">
        <w:rPr>
          <w:color w:val="244061" w:themeColor="accent1" w:themeShade="80"/>
          <w:sz w:val="72"/>
          <w:szCs w:val="72"/>
        </w:rPr>
        <w:t>S</w:t>
      </w:r>
      <w:r w:rsidRPr="00950B20" w:rsidR="00950B20">
        <w:rPr>
          <w:color w:val="244061" w:themeColor="accent1" w:themeShade="80"/>
          <w:sz w:val="72"/>
          <w:szCs w:val="72"/>
        </w:rPr>
        <w:t>ykehuset Innlandet</w:t>
      </w:r>
    </w:p>
    <w:p w:rsidR="0026532E" w:rsidRPr="001C5F71" w14:paraId="31AFB8C1" w14:textId="77777777">
      <w:pPr>
        <w:pStyle w:val="BodyText"/>
        <w:rPr>
          <w:b/>
          <w:sz w:val="20"/>
        </w:rPr>
      </w:pPr>
    </w:p>
    <w:p w:rsidR="0026532E" w:rsidRPr="001C5F71" w14:paraId="3D4F8347" w14:textId="77777777">
      <w:pPr>
        <w:pStyle w:val="BodyText"/>
        <w:spacing w:before="1"/>
        <w:rPr>
          <w:b/>
          <w:sz w:val="15"/>
        </w:rPr>
      </w:pPr>
      <w:r>
        <w:rPr>
          <w:noProof/>
          <w:lang w:eastAsia="nb-NO"/>
        </w:rPr>
        <mc:AlternateContent>
          <mc:Choice Requires="wpg">
            <w:drawing>
              <wp:anchor distT="0" distB="0" distL="0" distR="0" simplePos="0" relativeHeight="251658240" behindDoc="1" locked="0" layoutInCell="1" allowOverlap="1">
                <wp:simplePos x="0" y="0"/>
                <wp:positionH relativeFrom="page">
                  <wp:posOffset>358140</wp:posOffset>
                </wp:positionH>
                <wp:positionV relativeFrom="paragraph">
                  <wp:posOffset>146050</wp:posOffset>
                </wp:positionV>
                <wp:extent cx="6774180" cy="4861560"/>
                <wp:effectExtent l="0" t="0" r="7620" b="0"/>
                <wp:wrapTopAndBottom/>
                <wp:docPr id="185" name="Group 96"/>
                <wp:cNvGraphicFramePr/>
                <a:graphic xmlns:a="http://schemas.openxmlformats.org/drawingml/2006/main">
                  <a:graphicData uri="http://schemas.microsoft.com/office/word/2010/wordprocessingGroup">
                    <wpg:wgp xmlns:wpg="http://schemas.microsoft.com/office/word/2010/wordprocessingGroup">
                      <wpg:cNvGrpSpPr/>
                      <wpg:grpSpPr>
                        <a:xfrm>
                          <a:off x="0" y="0"/>
                          <a:ext cx="6774180" cy="4861560"/>
                          <a:chOff x="1409" y="224"/>
                          <a:chExt cx="9104" cy="6077"/>
                        </a:xfrm>
                      </wpg:grpSpPr>
                      <pic:pic xmlns:pic="http://schemas.openxmlformats.org/drawingml/2006/picture">
                        <pic:nvPicPr>
                          <pic:cNvPr id="186" name="Picture 98"/>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1423" y="238"/>
                            <a:ext cx="9072" cy="604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pic:spPr>
                      </pic:pic>
                      <wps:wsp xmlns:wps="http://schemas.microsoft.com/office/word/2010/wordprocessingShape">
                        <wps:cNvPr id="187" name="AutoShape 97"/>
                        <wps:cNvSpPr/>
                        <wps:spPr bwMode="auto">
                          <a:xfrm>
                            <a:off x="1408" y="223"/>
                            <a:ext cx="9104" cy="6077"/>
                          </a:xfrm>
                          <a:custGeom>
                            <a:avLst/>
                            <a:gdLst>
                              <a:gd name="T0" fmla="+- 0 10507 1409"/>
                              <a:gd name="T1" fmla="*/ T0 w 9104"/>
                              <a:gd name="T2" fmla="+- 0 6301 224"/>
                              <a:gd name="T3" fmla="*/ 6301 h 6077"/>
                              <a:gd name="T4" fmla="+- 0 1414 1409"/>
                              <a:gd name="T5" fmla="*/ T4 w 9104"/>
                              <a:gd name="T6" fmla="+- 0 6301 224"/>
                              <a:gd name="T7" fmla="*/ 6301 h 6077"/>
                              <a:gd name="T8" fmla="+- 0 1409 1409"/>
                              <a:gd name="T9" fmla="*/ T8 w 9104"/>
                              <a:gd name="T10" fmla="+- 0 6298 224"/>
                              <a:gd name="T11" fmla="*/ 6298 h 6077"/>
                              <a:gd name="T12" fmla="+- 0 1409 1409"/>
                              <a:gd name="T13" fmla="*/ T12 w 9104"/>
                              <a:gd name="T14" fmla="+- 0 226 224"/>
                              <a:gd name="T15" fmla="*/ 226 h 6077"/>
                              <a:gd name="T16" fmla="+- 0 1414 1409"/>
                              <a:gd name="T17" fmla="*/ T16 w 9104"/>
                              <a:gd name="T18" fmla="+- 0 224 224"/>
                              <a:gd name="T19" fmla="*/ 224 h 6077"/>
                              <a:gd name="T20" fmla="+- 0 10507 1409"/>
                              <a:gd name="T21" fmla="*/ T20 w 9104"/>
                              <a:gd name="T22" fmla="+- 0 224 224"/>
                              <a:gd name="T23" fmla="*/ 224 h 6077"/>
                              <a:gd name="T24" fmla="+- 0 10512 1409"/>
                              <a:gd name="T25" fmla="*/ T24 w 9104"/>
                              <a:gd name="T26" fmla="+- 0 226 224"/>
                              <a:gd name="T27" fmla="*/ 226 h 6077"/>
                              <a:gd name="T28" fmla="+- 0 10512 1409"/>
                              <a:gd name="T29" fmla="*/ T28 w 9104"/>
                              <a:gd name="T30" fmla="+- 0 231 224"/>
                              <a:gd name="T31" fmla="*/ 231 h 6077"/>
                              <a:gd name="T32" fmla="+- 0 1423 1409"/>
                              <a:gd name="T33" fmla="*/ T32 w 9104"/>
                              <a:gd name="T34" fmla="+- 0 231 224"/>
                              <a:gd name="T35" fmla="*/ 231 h 6077"/>
                              <a:gd name="T36" fmla="+- 0 1416 1409"/>
                              <a:gd name="T37" fmla="*/ T36 w 9104"/>
                              <a:gd name="T38" fmla="+- 0 238 224"/>
                              <a:gd name="T39" fmla="*/ 238 h 6077"/>
                              <a:gd name="T40" fmla="+- 0 1423 1409"/>
                              <a:gd name="T41" fmla="*/ T40 w 9104"/>
                              <a:gd name="T42" fmla="+- 0 238 224"/>
                              <a:gd name="T43" fmla="*/ 238 h 6077"/>
                              <a:gd name="T44" fmla="+- 0 1423 1409"/>
                              <a:gd name="T45" fmla="*/ T44 w 9104"/>
                              <a:gd name="T46" fmla="+- 0 6286 224"/>
                              <a:gd name="T47" fmla="*/ 6286 h 6077"/>
                              <a:gd name="T48" fmla="+- 0 1416 1409"/>
                              <a:gd name="T49" fmla="*/ T48 w 9104"/>
                              <a:gd name="T50" fmla="+- 0 6286 224"/>
                              <a:gd name="T51" fmla="*/ 6286 h 6077"/>
                              <a:gd name="T52" fmla="+- 0 1423 1409"/>
                              <a:gd name="T53" fmla="*/ T52 w 9104"/>
                              <a:gd name="T54" fmla="+- 0 6293 224"/>
                              <a:gd name="T55" fmla="*/ 6293 h 6077"/>
                              <a:gd name="T56" fmla="+- 0 10512 1409"/>
                              <a:gd name="T57" fmla="*/ T56 w 9104"/>
                              <a:gd name="T58" fmla="+- 0 6293 224"/>
                              <a:gd name="T59" fmla="*/ 6293 h 6077"/>
                              <a:gd name="T60" fmla="+- 0 10512 1409"/>
                              <a:gd name="T61" fmla="*/ T60 w 9104"/>
                              <a:gd name="T62" fmla="+- 0 6298 224"/>
                              <a:gd name="T63" fmla="*/ 6298 h 6077"/>
                              <a:gd name="T64" fmla="+- 0 10507 1409"/>
                              <a:gd name="T65" fmla="*/ T64 w 9104"/>
                              <a:gd name="T66" fmla="+- 0 6301 224"/>
                              <a:gd name="T67" fmla="*/ 6301 h 6077"/>
                              <a:gd name="T68" fmla="+- 0 1423 1409"/>
                              <a:gd name="T69" fmla="*/ T68 w 9104"/>
                              <a:gd name="T70" fmla="+- 0 238 224"/>
                              <a:gd name="T71" fmla="*/ 238 h 6077"/>
                              <a:gd name="T72" fmla="+- 0 1416 1409"/>
                              <a:gd name="T73" fmla="*/ T72 w 9104"/>
                              <a:gd name="T74" fmla="+- 0 238 224"/>
                              <a:gd name="T75" fmla="*/ 238 h 6077"/>
                              <a:gd name="T76" fmla="+- 0 1423 1409"/>
                              <a:gd name="T77" fmla="*/ T76 w 9104"/>
                              <a:gd name="T78" fmla="+- 0 231 224"/>
                              <a:gd name="T79" fmla="*/ 231 h 6077"/>
                              <a:gd name="T80" fmla="+- 0 1423 1409"/>
                              <a:gd name="T81" fmla="*/ T80 w 9104"/>
                              <a:gd name="T82" fmla="+- 0 238 224"/>
                              <a:gd name="T83" fmla="*/ 238 h 6077"/>
                              <a:gd name="T84" fmla="+- 0 10495 1409"/>
                              <a:gd name="T85" fmla="*/ T84 w 9104"/>
                              <a:gd name="T86" fmla="+- 0 238 224"/>
                              <a:gd name="T87" fmla="*/ 238 h 6077"/>
                              <a:gd name="T88" fmla="+- 0 1423 1409"/>
                              <a:gd name="T89" fmla="*/ T88 w 9104"/>
                              <a:gd name="T90" fmla="+- 0 238 224"/>
                              <a:gd name="T91" fmla="*/ 238 h 6077"/>
                              <a:gd name="T92" fmla="+- 0 1423 1409"/>
                              <a:gd name="T93" fmla="*/ T92 w 9104"/>
                              <a:gd name="T94" fmla="+- 0 231 224"/>
                              <a:gd name="T95" fmla="*/ 231 h 6077"/>
                              <a:gd name="T96" fmla="+- 0 10495 1409"/>
                              <a:gd name="T97" fmla="*/ T96 w 9104"/>
                              <a:gd name="T98" fmla="+- 0 231 224"/>
                              <a:gd name="T99" fmla="*/ 231 h 6077"/>
                              <a:gd name="T100" fmla="+- 0 10495 1409"/>
                              <a:gd name="T101" fmla="*/ T100 w 9104"/>
                              <a:gd name="T102" fmla="+- 0 238 224"/>
                              <a:gd name="T103" fmla="*/ 238 h 6077"/>
                              <a:gd name="T104" fmla="+- 0 10495 1409"/>
                              <a:gd name="T105" fmla="*/ T104 w 9104"/>
                              <a:gd name="T106" fmla="+- 0 6293 224"/>
                              <a:gd name="T107" fmla="*/ 6293 h 6077"/>
                              <a:gd name="T108" fmla="+- 0 10495 1409"/>
                              <a:gd name="T109" fmla="*/ T108 w 9104"/>
                              <a:gd name="T110" fmla="+- 0 231 224"/>
                              <a:gd name="T111" fmla="*/ 231 h 6077"/>
                              <a:gd name="T112" fmla="+- 0 10505 1409"/>
                              <a:gd name="T113" fmla="*/ T112 w 9104"/>
                              <a:gd name="T114" fmla="+- 0 238 224"/>
                              <a:gd name="T115" fmla="*/ 238 h 6077"/>
                              <a:gd name="T116" fmla="+- 0 10512 1409"/>
                              <a:gd name="T117" fmla="*/ T116 w 9104"/>
                              <a:gd name="T118" fmla="+- 0 238 224"/>
                              <a:gd name="T119" fmla="*/ 238 h 6077"/>
                              <a:gd name="T120" fmla="+- 0 10512 1409"/>
                              <a:gd name="T121" fmla="*/ T120 w 9104"/>
                              <a:gd name="T122" fmla="+- 0 6286 224"/>
                              <a:gd name="T123" fmla="*/ 6286 h 6077"/>
                              <a:gd name="T124" fmla="+- 0 10505 1409"/>
                              <a:gd name="T125" fmla="*/ T124 w 9104"/>
                              <a:gd name="T126" fmla="+- 0 6286 224"/>
                              <a:gd name="T127" fmla="*/ 6286 h 6077"/>
                              <a:gd name="T128" fmla="+- 0 10495 1409"/>
                              <a:gd name="T129" fmla="*/ T128 w 9104"/>
                              <a:gd name="T130" fmla="+- 0 6293 224"/>
                              <a:gd name="T131" fmla="*/ 6293 h 6077"/>
                              <a:gd name="T132" fmla="+- 0 10512 1409"/>
                              <a:gd name="T133" fmla="*/ T132 w 9104"/>
                              <a:gd name="T134" fmla="+- 0 238 224"/>
                              <a:gd name="T135" fmla="*/ 238 h 6077"/>
                              <a:gd name="T136" fmla="+- 0 10505 1409"/>
                              <a:gd name="T137" fmla="*/ T136 w 9104"/>
                              <a:gd name="T138" fmla="+- 0 238 224"/>
                              <a:gd name="T139" fmla="*/ 238 h 6077"/>
                              <a:gd name="T140" fmla="+- 0 10495 1409"/>
                              <a:gd name="T141" fmla="*/ T140 w 9104"/>
                              <a:gd name="T142" fmla="+- 0 231 224"/>
                              <a:gd name="T143" fmla="*/ 231 h 6077"/>
                              <a:gd name="T144" fmla="+- 0 10512 1409"/>
                              <a:gd name="T145" fmla="*/ T144 w 9104"/>
                              <a:gd name="T146" fmla="+- 0 231 224"/>
                              <a:gd name="T147" fmla="*/ 231 h 6077"/>
                              <a:gd name="T148" fmla="+- 0 10512 1409"/>
                              <a:gd name="T149" fmla="*/ T148 w 9104"/>
                              <a:gd name="T150" fmla="+- 0 238 224"/>
                              <a:gd name="T151" fmla="*/ 238 h 6077"/>
                              <a:gd name="T152" fmla="+- 0 1423 1409"/>
                              <a:gd name="T153" fmla="*/ T152 w 9104"/>
                              <a:gd name="T154" fmla="+- 0 6293 224"/>
                              <a:gd name="T155" fmla="*/ 6293 h 6077"/>
                              <a:gd name="T156" fmla="+- 0 1416 1409"/>
                              <a:gd name="T157" fmla="*/ T156 w 9104"/>
                              <a:gd name="T158" fmla="+- 0 6286 224"/>
                              <a:gd name="T159" fmla="*/ 6286 h 6077"/>
                              <a:gd name="T160" fmla="+- 0 1423 1409"/>
                              <a:gd name="T161" fmla="*/ T160 w 9104"/>
                              <a:gd name="T162" fmla="+- 0 6286 224"/>
                              <a:gd name="T163" fmla="*/ 6286 h 6077"/>
                              <a:gd name="T164" fmla="+- 0 1423 1409"/>
                              <a:gd name="T165" fmla="*/ T164 w 9104"/>
                              <a:gd name="T166" fmla="+- 0 6293 224"/>
                              <a:gd name="T167" fmla="*/ 6293 h 6077"/>
                              <a:gd name="T168" fmla="+- 0 10495 1409"/>
                              <a:gd name="T169" fmla="*/ T168 w 9104"/>
                              <a:gd name="T170" fmla="+- 0 6293 224"/>
                              <a:gd name="T171" fmla="*/ 6293 h 6077"/>
                              <a:gd name="T172" fmla="+- 0 1423 1409"/>
                              <a:gd name="T173" fmla="*/ T172 w 9104"/>
                              <a:gd name="T174" fmla="+- 0 6293 224"/>
                              <a:gd name="T175" fmla="*/ 6293 h 6077"/>
                              <a:gd name="T176" fmla="+- 0 1423 1409"/>
                              <a:gd name="T177" fmla="*/ T176 w 9104"/>
                              <a:gd name="T178" fmla="+- 0 6286 224"/>
                              <a:gd name="T179" fmla="*/ 6286 h 6077"/>
                              <a:gd name="T180" fmla="+- 0 10495 1409"/>
                              <a:gd name="T181" fmla="*/ T180 w 9104"/>
                              <a:gd name="T182" fmla="+- 0 6286 224"/>
                              <a:gd name="T183" fmla="*/ 6286 h 6077"/>
                              <a:gd name="T184" fmla="+- 0 10495 1409"/>
                              <a:gd name="T185" fmla="*/ T184 w 9104"/>
                              <a:gd name="T186" fmla="+- 0 6293 224"/>
                              <a:gd name="T187" fmla="*/ 6293 h 6077"/>
                              <a:gd name="T188" fmla="+- 0 10512 1409"/>
                              <a:gd name="T189" fmla="*/ T188 w 9104"/>
                              <a:gd name="T190" fmla="+- 0 6293 224"/>
                              <a:gd name="T191" fmla="*/ 6293 h 6077"/>
                              <a:gd name="T192" fmla="+- 0 10495 1409"/>
                              <a:gd name="T193" fmla="*/ T192 w 9104"/>
                              <a:gd name="T194" fmla="+- 0 6293 224"/>
                              <a:gd name="T195" fmla="*/ 6293 h 6077"/>
                              <a:gd name="T196" fmla="+- 0 10505 1409"/>
                              <a:gd name="T197" fmla="*/ T196 w 9104"/>
                              <a:gd name="T198" fmla="+- 0 6286 224"/>
                              <a:gd name="T199" fmla="*/ 6286 h 6077"/>
                              <a:gd name="T200" fmla="+- 0 10512 1409"/>
                              <a:gd name="T201" fmla="*/ T200 w 9104"/>
                              <a:gd name="T202" fmla="+- 0 6286 224"/>
                              <a:gd name="T203" fmla="*/ 6286 h 6077"/>
                              <a:gd name="T204" fmla="+- 0 10512 1409"/>
                              <a:gd name="T205" fmla="*/ T204 w 9104"/>
                              <a:gd name="T206" fmla="+- 0 6293 224"/>
                              <a:gd name="T207" fmla="*/ 6293 h 6077"/>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fill="norm" h="6077" w="9104" stroke="1">
                                <a:moveTo>
                                  <a:pt x="9098" y="6077"/>
                                </a:moveTo>
                                <a:lnTo>
                                  <a:pt x="5" y="6077"/>
                                </a:lnTo>
                                <a:lnTo>
                                  <a:pt x="0" y="6074"/>
                                </a:lnTo>
                                <a:lnTo>
                                  <a:pt x="0" y="2"/>
                                </a:lnTo>
                                <a:lnTo>
                                  <a:pt x="5" y="0"/>
                                </a:lnTo>
                                <a:lnTo>
                                  <a:pt x="9098" y="0"/>
                                </a:lnTo>
                                <a:lnTo>
                                  <a:pt x="9103" y="2"/>
                                </a:lnTo>
                                <a:lnTo>
                                  <a:pt x="9103" y="7"/>
                                </a:lnTo>
                                <a:lnTo>
                                  <a:pt x="14" y="7"/>
                                </a:lnTo>
                                <a:lnTo>
                                  <a:pt x="7" y="14"/>
                                </a:lnTo>
                                <a:lnTo>
                                  <a:pt x="14" y="14"/>
                                </a:lnTo>
                                <a:lnTo>
                                  <a:pt x="14" y="6062"/>
                                </a:lnTo>
                                <a:lnTo>
                                  <a:pt x="7" y="6062"/>
                                </a:lnTo>
                                <a:lnTo>
                                  <a:pt x="14" y="6069"/>
                                </a:lnTo>
                                <a:lnTo>
                                  <a:pt x="9103" y="6069"/>
                                </a:lnTo>
                                <a:lnTo>
                                  <a:pt x="9103" y="6074"/>
                                </a:lnTo>
                                <a:lnTo>
                                  <a:pt x="9098" y="6077"/>
                                </a:lnTo>
                                <a:close/>
                                <a:moveTo>
                                  <a:pt x="14" y="14"/>
                                </a:moveTo>
                                <a:lnTo>
                                  <a:pt x="7" y="14"/>
                                </a:lnTo>
                                <a:lnTo>
                                  <a:pt x="14" y="7"/>
                                </a:lnTo>
                                <a:lnTo>
                                  <a:pt x="14" y="14"/>
                                </a:lnTo>
                                <a:close/>
                                <a:moveTo>
                                  <a:pt x="9086" y="14"/>
                                </a:moveTo>
                                <a:lnTo>
                                  <a:pt x="14" y="14"/>
                                </a:lnTo>
                                <a:lnTo>
                                  <a:pt x="14" y="7"/>
                                </a:lnTo>
                                <a:lnTo>
                                  <a:pt x="9086" y="7"/>
                                </a:lnTo>
                                <a:lnTo>
                                  <a:pt x="9086" y="14"/>
                                </a:lnTo>
                                <a:close/>
                                <a:moveTo>
                                  <a:pt x="9086" y="6069"/>
                                </a:moveTo>
                                <a:lnTo>
                                  <a:pt x="9086" y="7"/>
                                </a:lnTo>
                                <a:lnTo>
                                  <a:pt x="9096" y="14"/>
                                </a:lnTo>
                                <a:lnTo>
                                  <a:pt x="9103" y="14"/>
                                </a:lnTo>
                                <a:lnTo>
                                  <a:pt x="9103" y="6062"/>
                                </a:lnTo>
                                <a:lnTo>
                                  <a:pt x="9096" y="6062"/>
                                </a:lnTo>
                                <a:lnTo>
                                  <a:pt x="9086" y="6069"/>
                                </a:lnTo>
                                <a:close/>
                                <a:moveTo>
                                  <a:pt x="9103" y="14"/>
                                </a:moveTo>
                                <a:lnTo>
                                  <a:pt x="9096" y="14"/>
                                </a:lnTo>
                                <a:lnTo>
                                  <a:pt x="9086" y="7"/>
                                </a:lnTo>
                                <a:lnTo>
                                  <a:pt x="9103" y="7"/>
                                </a:lnTo>
                                <a:lnTo>
                                  <a:pt x="9103" y="14"/>
                                </a:lnTo>
                                <a:close/>
                                <a:moveTo>
                                  <a:pt x="14" y="6069"/>
                                </a:moveTo>
                                <a:lnTo>
                                  <a:pt x="7" y="6062"/>
                                </a:lnTo>
                                <a:lnTo>
                                  <a:pt x="14" y="6062"/>
                                </a:lnTo>
                                <a:lnTo>
                                  <a:pt x="14" y="6069"/>
                                </a:lnTo>
                                <a:close/>
                                <a:moveTo>
                                  <a:pt x="9086" y="6069"/>
                                </a:moveTo>
                                <a:lnTo>
                                  <a:pt x="14" y="6069"/>
                                </a:lnTo>
                                <a:lnTo>
                                  <a:pt x="14" y="6062"/>
                                </a:lnTo>
                                <a:lnTo>
                                  <a:pt x="9086" y="6062"/>
                                </a:lnTo>
                                <a:lnTo>
                                  <a:pt x="9086" y="6069"/>
                                </a:lnTo>
                                <a:close/>
                                <a:moveTo>
                                  <a:pt x="9103" y="6069"/>
                                </a:moveTo>
                                <a:lnTo>
                                  <a:pt x="9086" y="6069"/>
                                </a:lnTo>
                                <a:lnTo>
                                  <a:pt x="9096" y="6062"/>
                                </a:lnTo>
                                <a:lnTo>
                                  <a:pt x="9103" y="6062"/>
                                </a:lnTo>
                                <a:lnTo>
                                  <a:pt x="9103" y="6069"/>
                                </a:lnTo>
                                <a:close/>
                              </a:path>
                            </a:pathLst>
                          </a:custGeom>
                          <a:solidFill>
                            <a:srgbClr val="00000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6" o:spid="_x0000_s1025" style="width:533.4pt;height:382.8pt;margin-top:11.5pt;margin-left:28.2pt;mso-position-horizontal-relative:page;mso-wrap-distance-left:0;mso-wrap-distance-right:0;position:absolute;z-index:-251657216" coordorigin="1409,224" coordsize="9104,6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6" type="#_x0000_t75" style="width:9072;height:6048;left:1423;mso-wrap-style:square;position:absolute;top:238;visibility:visible">
                  <v:imagedata r:id="rId6" o:title=""/>
                </v:shape>
                <v:shape id="AutoShape 97" o:spid="_x0000_s1027" style="width:9104;height:6077;left:1408;mso-wrap-style:square;position:absolute;top:223;visibility:visible;v-text-anchor:top" coordsize="9104,6077" path="m9098,6077l5,6077,,6074,,2,5,,9098,l9103,2l9103,7,14,7,7,14l14,14l14,6062l7,6062l14,6069l9103,6069l9103,6074l9098,6077xm14,14l7,14l14,7l14,14xm9086,14l14,14l14,7l9086,7l9086,14xm9086,6069l9086,7l9096,14l9103,14l9103,6062l9096,6062l9086,6069xm9103,14l9096,14l9086,7l9103,7l9103,14xm14,6069l7,6062l14,6062l14,6069xm9086,6069l14,6069l14,6062l9086,6062l9086,6069xm9103,6069l9086,6069l9096,6062l9103,6062l9103,6069xe" fillcolor="black" stroked="f">
                  <v:path arrowok="t" o:connecttype="custom" o:connectlocs="9098,6301;5,6301;0,6298;0,226;5,224;9098,224;9103,226;9103,231;14,231;7,238;14,238;14,6286;7,6286;14,6293;9103,6293;9103,6298;9098,6301;14,238;7,238;14,231;14,238;9086,238;14,238;14,231;9086,231;9086,238;9086,6293;9086,231;9096,238;9103,238;9103,6286;9096,6286;9086,6293;9103,238;9096,238;9086,231;9103,231;9103,238;14,6293;7,6286;14,6286;14,6293;9086,6293;14,6293;14,6286;9086,6286;9086,6293;9103,6293;9086,6293;9096,6286;9103,6286;9103,6293" o:connectangles="0,0,0,0,0,0,0,0,0,0,0,0,0,0,0,0,0,0,0,0,0,0,0,0,0,0,0,0,0,0,0,0,0,0,0,0,0,0,0,0,0,0,0,0,0,0,0,0,0,0,0,0"/>
                </v:shape>
                <w10:wrap type="topAndBottom"/>
              </v:group>
            </w:pict>
          </mc:Fallback>
        </mc:AlternateContent>
      </w:r>
    </w:p>
    <w:p w:rsidR="0026532E" w:rsidRPr="001C5F71" w14:paraId="2E6C195B" w14:textId="77777777">
      <w:pPr>
        <w:rPr>
          <w:sz w:val="15"/>
        </w:rPr>
        <w:sectPr>
          <w:headerReference w:type="default" r:id="rId7"/>
          <w:footerReference w:type="default" r:id="rId8"/>
          <w:type w:val="continuous"/>
          <w:pgSz w:w="11910" w:h="16840"/>
          <w:pgMar w:top="2880" w:right="820" w:bottom="1140" w:left="1160" w:header="713" w:footer="942" w:gutter="0"/>
          <w:pgNumType w:start="1"/>
          <w:cols w:space="708"/>
        </w:sectPr>
      </w:pPr>
    </w:p>
    <w:p w:rsidR="0026532E" w14:paraId="04157461" w14:textId="77777777">
      <w:pPr>
        <w:pStyle w:val="BodyText"/>
        <w:spacing w:before="1"/>
        <w:rPr>
          <w:sz w:val="13"/>
        </w:rPr>
      </w:pPr>
    </w:p>
    <w:sdt>
      <w:sdtPr>
        <w:rPr>
          <w:rFonts w:ascii="Calibri" w:eastAsia="Calibri" w:hAnsi="Calibri" w:cs="Calibri"/>
          <w:color w:val="auto"/>
          <w:sz w:val="22"/>
          <w:szCs w:val="22"/>
          <w:lang w:eastAsia="en-US"/>
        </w:rPr>
        <w:id w:val="1083648992"/>
        <w:docPartObj>
          <w:docPartGallery w:val="Table of Contents"/>
          <w:docPartUnique/>
        </w:docPartObj>
      </w:sdtPr>
      <w:sdtEndPr>
        <w:rPr>
          <w:b/>
          <w:bCs/>
        </w:rPr>
      </w:sdtEndPr>
      <w:sdtContent>
        <w:p w:rsidR="00704230" w14:paraId="25FD2445" w14:textId="1A509408">
          <w:pPr>
            <w:pStyle w:val="TOCHeading"/>
          </w:pPr>
          <w:r>
            <w:t>Innhold</w:t>
          </w:r>
        </w:p>
        <w:p w:rsidR="008B5EF0" w14:paraId="6C39181C" w14:textId="41D63197">
          <w:pPr>
            <w:pStyle w:val="TOC1"/>
            <w:tabs>
              <w:tab w:val="right" w:leader="dot" w:pos="9920"/>
            </w:tabs>
            <w:rPr>
              <w:rFonts w:asciiTheme="minorHAnsi" w:eastAsiaTheme="minorEastAsia" w:hAnsiTheme="minorHAnsi" w:cstheme="minorBidi"/>
              <w:noProof/>
              <w:lang w:eastAsia="nb-NO"/>
            </w:rPr>
          </w:pPr>
          <w:r>
            <w:fldChar w:fldCharType="begin"/>
          </w:r>
          <w:r>
            <w:instrText xml:space="preserve"> TOC \o "1-3" \h \z \u </w:instrText>
          </w:r>
          <w:r>
            <w:fldChar w:fldCharType="separate"/>
          </w:r>
          <w:hyperlink w:anchor="_Toc85536842" w:history="1">
            <w:r w:rsidRPr="004365DD">
              <w:rPr>
                <w:rStyle w:val="Hyperlink"/>
                <w:noProof/>
              </w:rPr>
              <w:t>1.</w:t>
            </w:r>
            <w:r>
              <w:rPr>
                <w:rFonts w:asciiTheme="minorHAnsi" w:eastAsiaTheme="minorEastAsia" w:hAnsiTheme="minorHAnsi" w:cstheme="minorBidi"/>
                <w:noProof/>
                <w:lang w:eastAsia="nb-NO"/>
              </w:rPr>
              <w:tab/>
            </w:r>
            <w:r w:rsidRPr="004365DD">
              <w:rPr>
                <w:rStyle w:val="Hyperlink"/>
                <w:noProof/>
              </w:rPr>
              <w:t>Sammendrag</w:t>
            </w:r>
            <w:r>
              <w:rPr>
                <w:noProof/>
                <w:webHidden/>
              </w:rPr>
              <w:tab/>
            </w:r>
            <w:r>
              <w:rPr>
                <w:noProof/>
                <w:webHidden/>
              </w:rPr>
              <w:fldChar w:fldCharType="begin"/>
            </w:r>
            <w:r>
              <w:rPr>
                <w:noProof/>
                <w:webHidden/>
              </w:rPr>
              <w:instrText xml:space="preserve"> PAGEREF _Toc85536842 \h </w:instrText>
            </w:r>
            <w:r>
              <w:rPr>
                <w:noProof/>
                <w:webHidden/>
              </w:rPr>
              <w:fldChar w:fldCharType="separate"/>
            </w:r>
            <w:r w:rsidR="00987581">
              <w:rPr>
                <w:noProof/>
                <w:webHidden/>
              </w:rPr>
              <w:t>4</w:t>
            </w:r>
            <w:r>
              <w:rPr>
                <w:noProof/>
                <w:webHidden/>
              </w:rPr>
              <w:fldChar w:fldCharType="end"/>
            </w:r>
          </w:hyperlink>
        </w:p>
        <w:p w:rsidR="008B5EF0" w14:paraId="655EEA5F" w14:textId="37B3BCEC">
          <w:pPr>
            <w:pStyle w:val="TOC1"/>
            <w:tabs>
              <w:tab w:val="right" w:leader="dot" w:pos="9920"/>
            </w:tabs>
            <w:rPr>
              <w:rFonts w:asciiTheme="minorHAnsi" w:eastAsiaTheme="minorEastAsia" w:hAnsiTheme="minorHAnsi" w:cstheme="minorBidi"/>
              <w:noProof/>
              <w:lang w:eastAsia="nb-NO"/>
            </w:rPr>
          </w:pPr>
          <w:hyperlink w:anchor="_Toc85536843" w:history="1">
            <w:r w:rsidRPr="004365DD">
              <w:rPr>
                <w:rStyle w:val="Hyperlink"/>
                <w:noProof/>
              </w:rPr>
              <w:t>2.</w:t>
            </w:r>
            <w:r>
              <w:rPr>
                <w:rFonts w:asciiTheme="minorHAnsi" w:eastAsiaTheme="minorEastAsia" w:hAnsiTheme="minorHAnsi" w:cstheme="minorBidi"/>
                <w:noProof/>
                <w:lang w:eastAsia="nb-NO"/>
              </w:rPr>
              <w:tab/>
            </w:r>
            <w:r w:rsidRPr="004365DD">
              <w:rPr>
                <w:rStyle w:val="Hyperlink"/>
                <w:noProof/>
              </w:rPr>
              <w:t>Bakgrunn og</w:t>
            </w:r>
            <w:r w:rsidRPr="004365DD">
              <w:rPr>
                <w:rStyle w:val="Hyperlink"/>
                <w:noProof/>
                <w:spacing w:val="-3"/>
              </w:rPr>
              <w:t xml:space="preserve"> </w:t>
            </w:r>
            <w:r w:rsidRPr="004365DD">
              <w:rPr>
                <w:rStyle w:val="Hyperlink"/>
                <w:noProof/>
              </w:rPr>
              <w:t>hensikt</w:t>
            </w:r>
            <w:r>
              <w:rPr>
                <w:noProof/>
                <w:webHidden/>
              </w:rPr>
              <w:tab/>
            </w:r>
            <w:r>
              <w:rPr>
                <w:noProof/>
                <w:webHidden/>
              </w:rPr>
              <w:fldChar w:fldCharType="begin"/>
            </w:r>
            <w:r>
              <w:rPr>
                <w:noProof/>
                <w:webHidden/>
              </w:rPr>
              <w:instrText xml:space="preserve"> PAGEREF _Toc85536843 \h </w:instrText>
            </w:r>
            <w:r>
              <w:rPr>
                <w:noProof/>
                <w:webHidden/>
              </w:rPr>
              <w:fldChar w:fldCharType="separate"/>
            </w:r>
            <w:r>
              <w:rPr>
                <w:noProof/>
                <w:webHidden/>
              </w:rPr>
              <w:t>4</w:t>
            </w:r>
            <w:r>
              <w:rPr>
                <w:noProof/>
                <w:webHidden/>
              </w:rPr>
              <w:fldChar w:fldCharType="end"/>
            </w:r>
          </w:hyperlink>
        </w:p>
        <w:p w:rsidR="008B5EF0" w14:paraId="055236A0" w14:textId="774D1DA5">
          <w:pPr>
            <w:pStyle w:val="TOC2"/>
            <w:tabs>
              <w:tab w:val="left" w:pos="1136"/>
              <w:tab w:val="right" w:leader="dot" w:pos="9920"/>
            </w:tabs>
            <w:rPr>
              <w:rFonts w:asciiTheme="minorHAnsi" w:eastAsiaTheme="minorEastAsia" w:hAnsiTheme="minorHAnsi" w:cstheme="minorBidi"/>
              <w:noProof/>
              <w:lang w:eastAsia="nb-NO"/>
            </w:rPr>
          </w:pPr>
          <w:hyperlink w:anchor="_Toc85536844" w:history="1">
            <w:r w:rsidRPr="004365DD">
              <w:rPr>
                <w:rStyle w:val="Hyperlink"/>
                <w:noProof/>
              </w:rPr>
              <w:t>2.1</w:t>
            </w:r>
            <w:r>
              <w:rPr>
                <w:rFonts w:asciiTheme="minorHAnsi" w:eastAsiaTheme="minorEastAsia" w:hAnsiTheme="minorHAnsi" w:cstheme="minorBidi"/>
                <w:noProof/>
                <w:lang w:eastAsia="nb-NO"/>
              </w:rPr>
              <w:tab/>
            </w:r>
            <w:r w:rsidRPr="004365DD">
              <w:rPr>
                <w:rStyle w:val="Hyperlink"/>
                <w:noProof/>
              </w:rPr>
              <w:t>Bakgrunn</w:t>
            </w:r>
            <w:r>
              <w:rPr>
                <w:noProof/>
                <w:webHidden/>
              </w:rPr>
              <w:tab/>
            </w:r>
            <w:r>
              <w:rPr>
                <w:noProof/>
                <w:webHidden/>
              </w:rPr>
              <w:fldChar w:fldCharType="begin"/>
            </w:r>
            <w:r>
              <w:rPr>
                <w:noProof/>
                <w:webHidden/>
              </w:rPr>
              <w:instrText xml:space="preserve"> PAGEREF _Toc85536844 \h </w:instrText>
            </w:r>
            <w:r>
              <w:rPr>
                <w:noProof/>
                <w:webHidden/>
              </w:rPr>
              <w:fldChar w:fldCharType="separate"/>
            </w:r>
            <w:r>
              <w:rPr>
                <w:noProof/>
                <w:webHidden/>
              </w:rPr>
              <w:t>4</w:t>
            </w:r>
            <w:r>
              <w:rPr>
                <w:noProof/>
                <w:webHidden/>
              </w:rPr>
              <w:fldChar w:fldCharType="end"/>
            </w:r>
          </w:hyperlink>
        </w:p>
        <w:p w:rsidR="008B5EF0" w14:paraId="3E06521F" w14:textId="5476C98C">
          <w:pPr>
            <w:pStyle w:val="TOC2"/>
            <w:tabs>
              <w:tab w:val="left" w:pos="1136"/>
              <w:tab w:val="right" w:leader="dot" w:pos="9920"/>
            </w:tabs>
            <w:rPr>
              <w:rFonts w:asciiTheme="minorHAnsi" w:eastAsiaTheme="minorEastAsia" w:hAnsiTheme="minorHAnsi" w:cstheme="minorBidi"/>
              <w:noProof/>
              <w:lang w:eastAsia="nb-NO"/>
            </w:rPr>
          </w:pPr>
          <w:hyperlink w:anchor="_Toc85536845" w:history="1">
            <w:r w:rsidRPr="004365DD">
              <w:rPr>
                <w:rStyle w:val="Hyperlink"/>
                <w:noProof/>
              </w:rPr>
              <w:t>2.2</w:t>
            </w:r>
            <w:r>
              <w:rPr>
                <w:rFonts w:asciiTheme="minorHAnsi" w:eastAsiaTheme="minorEastAsia" w:hAnsiTheme="minorHAnsi" w:cstheme="minorBidi"/>
                <w:noProof/>
                <w:lang w:eastAsia="nb-NO"/>
              </w:rPr>
              <w:tab/>
            </w:r>
            <w:r w:rsidRPr="004365DD">
              <w:rPr>
                <w:rStyle w:val="Hyperlink"/>
                <w:noProof/>
              </w:rPr>
              <w:t>Hensikt med</w:t>
            </w:r>
            <w:r w:rsidRPr="004365DD">
              <w:rPr>
                <w:rStyle w:val="Hyperlink"/>
                <w:noProof/>
                <w:spacing w:val="-1"/>
              </w:rPr>
              <w:t xml:space="preserve"> </w:t>
            </w:r>
            <w:r w:rsidRPr="004365DD">
              <w:rPr>
                <w:rStyle w:val="Hyperlink"/>
                <w:noProof/>
              </w:rPr>
              <w:t>innføringsplanen</w:t>
            </w:r>
            <w:r>
              <w:rPr>
                <w:noProof/>
                <w:webHidden/>
              </w:rPr>
              <w:tab/>
            </w:r>
            <w:r>
              <w:rPr>
                <w:noProof/>
                <w:webHidden/>
              </w:rPr>
              <w:fldChar w:fldCharType="begin"/>
            </w:r>
            <w:r>
              <w:rPr>
                <w:noProof/>
                <w:webHidden/>
              </w:rPr>
              <w:instrText xml:space="preserve"> PAGEREF _Toc85536845 \h </w:instrText>
            </w:r>
            <w:r>
              <w:rPr>
                <w:noProof/>
                <w:webHidden/>
              </w:rPr>
              <w:fldChar w:fldCharType="separate"/>
            </w:r>
            <w:r>
              <w:rPr>
                <w:noProof/>
                <w:webHidden/>
              </w:rPr>
              <w:t>5</w:t>
            </w:r>
            <w:r>
              <w:rPr>
                <w:noProof/>
                <w:webHidden/>
              </w:rPr>
              <w:fldChar w:fldCharType="end"/>
            </w:r>
          </w:hyperlink>
        </w:p>
        <w:p w:rsidR="008B5EF0" w14:paraId="1389395E" w14:textId="30986726">
          <w:pPr>
            <w:pStyle w:val="TOC1"/>
            <w:tabs>
              <w:tab w:val="right" w:leader="dot" w:pos="9920"/>
            </w:tabs>
            <w:rPr>
              <w:rFonts w:asciiTheme="minorHAnsi" w:eastAsiaTheme="minorEastAsia" w:hAnsiTheme="minorHAnsi" w:cstheme="minorBidi"/>
              <w:noProof/>
              <w:lang w:eastAsia="nb-NO"/>
            </w:rPr>
          </w:pPr>
          <w:hyperlink w:anchor="_Toc85536846" w:history="1">
            <w:r w:rsidRPr="004365DD">
              <w:rPr>
                <w:rStyle w:val="Hyperlink"/>
                <w:noProof/>
              </w:rPr>
              <w:t>3.</w:t>
            </w:r>
            <w:r>
              <w:rPr>
                <w:rFonts w:asciiTheme="minorHAnsi" w:eastAsiaTheme="minorEastAsia" w:hAnsiTheme="minorHAnsi" w:cstheme="minorBidi"/>
                <w:noProof/>
                <w:lang w:eastAsia="nb-NO"/>
              </w:rPr>
              <w:tab/>
            </w:r>
            <w:r w:rsidRPr="004365DD">
              <w:rPr>
                <w:rStyle w:val="Hyperlink"/>
                <w:noProof/>
              </w:rPr>
              <w:t>Modeller for lukket</w:t>
            </w:r>
            <w:r w:rsidRPr="004365DD">
              <w:rPr>
                <w:rStyle w:val="Hyperlink"/>
                <w:noProof/>
                <w:spacing w:val="-4"/>
              </w:rPr>
              <w:t xml:space="preserve"> </w:t>
            </w:r>
            <w:r w:rsidRPr="004365DD">
              <w:rPr>
                <w:rStyle w:val="Hyperlink"/>
                <w:noProof/>
              </w:rPr>
              <w:t>legemiddelsløyfe</w:t>
            </w:r>
            <w:r>
              <w:rPr>
                <w:noProof/>
                <w:webHidden/>
              </w:rPr>
              <w:tab/>
            </w:r>
            <w:r>
              <w:rPr>
                <w:noProof/>
                <w:webHidden/>
              </w:rPr>
              <w:fldChar w:fldCharType="begin"/>
            </w:r>
            <w:r>
              <w:rPr>
                <w:noProof/>
                <w:webHidden/>
              </w:rPr>
              <w:instrText xml:space="preserve"> PAGEREF _Toc85536846 \h </w:instrText>
            </w:r>
            <w:r>
              <w:rPr>
                <w:noProof/>
                <w:webHidden/>
              </w:rPr>
              <w:fldChar w:fldCharType="separate"/>
            </w:r>
            <w:r>
              <w:rPr>
                <w:noProof/>
                <w:webHidden/>
              </w:rPr>
              <w:t>6</w:t>
            </w:r>
            <w:r>
              <w:rPr>
                <w:noProof/>
                <w:webHidden/>
              </w:rPr>
              <w:fldChar w:fldCharType="end"/>
            </w:r>
          </w:hyperlink>
        </w:p>
        <w:p w:rsidR="008B5EF0" w14:paraId="126A9747" w14:textId="728AD6DD">
          <w:pPr>
            <w:pStyle w:val="TOC1"/>
            <w:tabs>
              <w:tab w:val="right" w:leader="dot" w:pos="9920"/>
            </w:tabs>
            <w:rPr>
              <w:rFonts w:asciiTheme="minorHAnsi" w:eastAsiaTheme="minorEastAsia" w:hAnsiTheme="minorHAnsi" w:cstheme="minorBidi"/>
              <w:noProof/>
              <w:lang w:eastAsia="nb-NO"/>
            </w:rPr>
          </w:pPr>
          <w:hyperlink w:anchor="_Toc85536847" w:history="1">
            <w:r w:rsidRPr="004365DD">
              <w:rPr>
                <w:rStyle w:val="Hyperlink"/>
                <w:noProof/>
              </w:rPr>
              <w:t>4.</w:t>
            </w:r>
            <w:r>
              <w:rPr>
                <w:rFonts w:asciiTheme="minorHAnsi" w:eastAsiaTheme="minorEastAsia" w:hAnsiTheme="minorHAnsi" w:cstheme="minorBidi"/>
                <w:noProof/>
                <w:lang w:eastAsia="nb-NO"/>
              </w:rPr>
              <w:tab/>
            </w:r>
            <w:r w:rsidRPr="004365DD">
              <w:rPr>
                <w:rStyle w:val="Hyperlink"/>
                <w:noProof/>
              </w:rPr>
              <w:t>Føringer og</w:t>
            </w:r>
            <w:r w:rsidRPr="004365DD">
              <w:rPr>
                <w:rStyle w:val="Hyperlink"/>
                <w:noProof/>
                <w:spacing w:val="-3"/>
              </w:rPr>
              <w:t xml:space="preserve"> </w:t>
            </w:r>
            <w:r w:rsidRPr="004365DD">
              <w:rPr>
                <w:rStyle w:val="Hyperlink"/>
                <w:noProof/>
              </w:rPr>
              <w:t>rammebetingelser</w:t>
            </w:r>
            <w:r>
              <w:rPr>
                <w:noProof/>
                <w:webHidden/>
              </w:rPr>
              <w:tab/>
            </w:r>
            <w:r>
              <w:rPr>
                <w:noProof/>
                <w:webHidden/>
              </w:rPr>
              <w:fldChar w:fldCharType="begin"/>
            </w:r>
            <w:r>
              <w:rPr>
                <w:noProof/>
                <w:webHidden/>
              </w:rPr>
              <w:instrText xml:space="preserve"> PAGEREF _Toc85536847 \h </w:instrText>
            </w:r>
            <w:r>
              <w:rPr>
                <w:noProof/>
                <w:webHidden/>
              </w:rPr>
              <w:fldChar w:fldCharType="separate"/>
            </w:r>
            <w:r>
              <w:rPr>
                <w:noProof/>
                <w:webHidden/>
              </w:rPr>
              <w:t>7</w:t>
            </w:r>
            <w:r>
              <w:rPr>
                <w:noProof/>
                <w:webHidden/>
              </w:rPr>
              <w:fldChar w:fldCharType="end"/>
            </w:r>
          </w:hyperlink>
        </w:p>
        <w:p w:rsidR="008B5EF0" w14:paraId="1E3A4740" w14:textId="68C42625">
          <w:pPr>
            <w:pStyle w:val="TOC2"/>
            <w:tabs>
              <w:tab w:val="left" w:pos="1136"/>
              <w:tab w:val="right" w:leader="dot" w:pos="9920"/>
            </w:tabs>
            <w:rPr>
              <w:rFonts w:asciiTheme="minorHAnsi" w:eastAsiaTheme="minorEastAsia" w:hAnsiTheme="minorHAnsi" w:cstheme="minorBidi"/>
              <w:noProof/>
              <w:lang w:eastAsia="nb-NO"/>
            </w:rPr>
          </w:pPr>
          <w:hyperlink w:anchor="_Toc85536848" w:history="1">
            <w:r w:rsidRPr="004365DD">
              <w:rPr>
                <w:rStyle w:val="Hyperlink"/>
                <w:noProof/>
              </w:rPr>
              <w:t>4.1</w:t>
            </w:r>
            <w:r>
              <w:rPr>
                <w:rFonts w:asciiTheme="minorHAnsi" w:eastAsiaTheme="minorEastAsia" w:hAnsiTheme="minorHAnsi" w:cstheme="minorBidi"/>
                <w:noProof/>
                <w:lang w:eastAsia="nb-NO"/>
              </w:rPr>
              <w:tab/>
            </w:r>
            <w:r w:rsidRPr="004365DD">
              <w:rPr>
                <w:rStyle w:val="Hyperlink"/>
                <w:noProof/>
              </w:rPr>
              <w:t>Eksisterende praksis i</w:t>
            </w:r>
            <w:r w:rsidRPr="004365DD">
              <w:rPr>
                <w:rStyle w:val="Hyperlink"/>
                <w:noProof/>
                <w:spacing w:val="-4"/>
              </w:rPr>
              <w:t xml:space="preserve"> </w:t>
            </w:r>
            <w:r w:rsidRPr="004365DD">
              <w:rPr>
                <w:rStyle w:val="Hyperlink"/>
                <w:noProof/>
              </w:rPr>
              <w:t>Helse Sør-Øst RHF</w:t>
            </w:r>
            <w:r>
              <w:rPr>
                <w:noProof/>
                <w:webHidden/>
              </w:rPr>
              <w:tab/>
            </w:r>
            <w:r>
              <w:rPr>
                <w:noProof/>
                <w:webHidden/>
              </w:rPr>
              <w:fldChar w:fldCharType="begin"/>
            </w:r>
            <w:r>
              <w:rPr>
                <w:noProof/>
                <w:webHidden/>
              </w:rPr>
              <w:instrText xml:space="preserve"> PAGEREF _Toc85536848 \h </w:instrText>
            </w:r>
            <w:r>
              <w:rPr>
                <w:noProof/>
                <w:webHidden/>
              </w:rPr>
              <w:fldChar w:fldCharType="separate"/>
            </w:r>
            <w:r>
              <w:rPr>
                <w:noProof/>
                <w:webHidden/>
              </w:rPr>
              <w:t>7</w:t>
            </w:r>
            <w:r>
              <w:rPr>
                <w:noProof/>
                <w:webHidden/>
              </w:rPr>
              <w:fldChar w:fldCharType="end"/>
            </w:r>
          </w:hyperlink>
        </w:p>
        <w:p w:rsidR="008B5EF0" w14:paraId="3CCC2E87" w14:textId="3C3CF610">
          <w:pPr>
            <w:pStyle w:val="TOC2"/>
            <w:tabs>
              <w:tab w:val="left" w:pos="1136"/>
              <w:tab w:val="right" w:leader="dot" w:pos="9920"/>
            </w:tabs>
            <w:rPr>
              <w:rFonts w:asciiTheme="minorHAnsi" w:eastAsiaTheme="minorEastAsia" w:hAnsiTheme="minorHAnsi" w:cstheme="minorBidi"/>
              <w:noProof/>
              <w:lang w:eastAsia="nb-NO"/>
            </w:rPr>
          </w:pPr>
          <w:hyperlink w:anchor="_Toc85536849" w:history="1">
            <w:r w:rsidRPr="004365DD">
              <w:rPr>
                <w:rStyle w:val="Hyperlink"/>
                <w:noProof/>
              </w:rPr>
              <w:t>4.2</w:t>
            </w:r>
            <w:r>
              <w:rPr>
                <w:rFonts w:asciiTheme="minorHAnsi" w:eastAsiaTheme="minorEastAsia" w:hAnsiTheme="minorHAnsi" w:cstheme="minorBidi"/>
                <w:noProof/>
                <w:lang w:eastAsia="nb-NO"/>
              </w:rPr>
              <w:tab/>
            </w:r>
            <w:r w:rsidRPr="004365DD">
              <w:rPr>
                <w:rStyle w:val="Hyperlink"/>
                <w:noProof/>
              </w:rPr>
              <w:t>Eksisterende praksis i Sykehuset Innlandet</w:t>
            </w:r>
            <w:r>
              <w:rPr>
                <w:noProof/>
                <w:webHidden/>
              </w:rPr>
              <w:tab/>
            </w:r>
            <w:r>
              <w:rPr>
                <w:noProof/>
                <w:webHidden/>
              </w:rPr>
              <w:fldChar w:fldCharType="begin"/>
            </w:r>
            <w:r>
              <w:rPr>
                <w:noProof/>
                <w:webHidden/>
              </w:rPr>
              <w:instrText xml:space="preserve"> PAGEREF _Toc85536849 \h </w:instrText>
            </w:r>
            <w:r>
              <w:rPr>
                <w:noProof/>
                <w:webHidden/>
              </w:rPr>
              <w:fldChar w:fldCharType="separate"/>
            </w:r>
            <w:r>
              <w:rPr>
                <w:noProof/>
                <w:webHidden/>
              </w:rPr>
              <w:t>8</w:t>
            </w:r>
            <w:r>
              <w:rPr>
                <w:noProof/>
                <w:webHidden/>
              </w:rPr>
              <w:fldChar w:fldCharType="end"/>
            </w:r>
          </w:hyperlink>
        </w:p>
        <w:p w:rsidR="008B5EF0" w14:paraId="0021C771" w14:textId="4DE7773C">
          <w:pPr>
            <w:pStyle w:val="TOC1"/>
            <w:tabs>
              <w:tab w:val="right" w:leader="dot" w:pos="9920"/>
            </w:tabs>
            <w:rPr>
              <w:rFonts w:asciiTheme="minorHAnsi" w:eastAsiaTheme="minorEastAsia" w:hAnsiTheme="minorHAnsi" w:cstheme="minorBidi"/>
              <w:noProof/>
              <w:lang w:eastAsia="nb-NO"/>
            </w:rPr>
          </w:pPr>
          <w:hyperlink w:anchor="_Toc85536850" w:history="1">
            <w:r w:rsidRPr="004365DD">
              <w:rPr>
                <w:rStyle w:val="Hyperlink"/>
                <w:noProof/>
              </w:rPr>
              <w:t>5.</w:t>
            </w:r>
            <w:r>
              <w:rPr>
                <w:rFonts w:asciiTheme="minorHAnsi" w:eastAsiaTheme="minorEastAsia" w:hAnsiTheme="minorHAnsi" w:cstheme="minorBidi"/>
                <w:noProof/>
                <w:lang w:eastAsia="nb-NO"/>
              </w:rPr>
              <w:tab/>
            </w:r>
            <w:r w:rsidRPr="004365DD">
              <w:rPr>
                <w:rStyle w:val="Hyperlink"/>
                <w:noProof/>
              </w:rPr>
              <w:t>Mål og plan for innføring av lukket legemiddelsløyfe</w:t>
            </w:r>
            <w:r>
              <w:rPr>
                <w:noProof/>
                <w:webHidden/>
              </w:rPr>
              <w:tab/>
            </w:r>
            <w:r>
              <w:rPr>
                <w:noProof/>
                <w:webHidden/>
              </w:rPr>
              <w:fldChar w:fldCharType="begin"/>
            </w:r>
            <w:r>
              <w:rPr>
                <w:noProof/>
                <w:webHidden/>
              </w:rPr>
              <w:instrText xml:space="preserve"> PAGEREF _Toc85536850 \h </w:instrText>
            </w:r>
            <w:r>
              <w:rPr>
                <w:noProof/>
                <w:webHidden/>
              </w:rPr>
              <w:fldChar w:fldCharType="separate"/>
            </w:r>
            <w:r>
              <w:rPr>
                <w:noProof/>
                <w:webHidden/>
              </w:rPr>
              <w:t>10</w:t>
            </w:r>
            <w:r>
              <w:rPr>
                <w:noProof/>
                <w:webHidden/>
              </w:rPr>
              <w:fldChar w:fldCharType="end"/>
            </w:r>
          </w:hyperlink>
        </w:p>
        <w:p w:rsidR="008B5EF0" w14:paraId="2AECD7B9" w14:textId="2D7BD4FB">
          <w:pPr>
            <w:pStyle w:val="TOC2"/>
            <w:tabs>
              <w:tab w:val="left" w:pos="1136"/>
              <w:tab w:val="right" w:leader="dot" w:pos="9920"/>
            </w:tabs>
            <w:rPr>
              <w:rFonts w:asciiTheme="minorHAnsi" w:eastAsiaTheme="minorEastAsia" w:hAnsiTheme="minorHAnsi" w:cstheme="minorBidi"/>
              <w:noProof/>
              <w:lang w:eastAsia="nb-NO"/>
            </w:rPr>
          </w:pPr>
          <w:hyperlink w:anchor="_Toc85536851" w:history="1">
            <w:r w:rsidRPr="004365DD">
              <w:rPr>
                <w:rStyle w:val="Hyperlink"/>
                <w:noProof/>
              </w:rPr>
              <w:t>5.1</w:t>
            </w:r>
            <w:r>
              <w:rPr>
                <w:rFonts w:asciiTheme="minorHAnsi" w:eastAsiaTheme="minorEastAsia" w:hAnsiTheme="minorHAnsi" w:cstheme="minorBidi"/>
                <w:noProof/>
                <w:lang w:eastAsia="nb-NO"/>
              </w:rPr>
              <w:tab/>
            </w:r>
            <w:r w:rsidRPr="004365DD">
              <w:rPr>
                <w:rStyle w:val="Hyperlink"/>
                <w:noProof/>
              </w:rPr>
              <w:t>Forløp 1</w:t>
            </w:r>
            <w:r>
              <w:rPr>
                <w:noProof/>
                <w:webHidden/>
              </w:rPr>
              <w:tab/>
            </w:r>
            <w:r>
              <w:rPr>
                <w:noProof/>
                <w:webHidden/>
              </w:rPr>
              <w:fldChar w:fldCharType="begin"/>
            </w:r>
            <w:r>
              <w:rPr>
                <w:noProof/>
                <w:webHidden/>
              </w:rPr>
              <w:instrText xml:space="preserve"> PAGEREF _Toc85536851 \h </w:instrText>
            </w:r>
            <w:r>
              <w:rPr>
                <w:noProof/>
                <w:webHidden/>
              </w:rPr>
              <w:fldChar w:fldCharType="separate"/>
            </w:r>
            <w:r>
              <w:rPr>
                <w:noProof/>
                <w:webHidden/>
              </w:rPr>
              <w:t>11</w:t>
            </w:r>
            <w:r>
              <w:rPr>
                <w:noProof/>
                <w:webHidden/>
              </w:rPr>
              <w:fldChar w:fldCharType="end"/>
            </w:r>
          </w:hyperlink>
        </w:p>
        <w:p w:rsidR="008B5EF0" w14:paraId="5B1CAB59" w14:textId="31370129">
          <w:pPr>
            <w:pStyle w:val="TOC2"/>
            <w:tabs>
              <w:tab w:val="left" w:pos="1136"/>
              <w:tab w:val="right" w:leader="dot" w:pos="9920"/>
            </w:tabs>
            <w:rPr>
              <w:rFonts w:asciiTheme="minorHAnsi" w:eastAsiaTheme="minorEastAsia" w:hAnsiTheme="minorHAnsi" w:cstheme="minorBidi"/>
              <w:noProof/>
              <w:lang w:eastAsia="nb-NO"/>
            </w:rPr>
          </w:pPr>
          <w:hyperlink w:anchor="_Toc85536852" w:history="1">
            <w:r w:rsidRPr="004365DD">
              <w:rPr>
                <w:rStyle w:val="Hyperlink"/>
                <w:noProof/>
              </w:rPr>
              <w:t>5.2</w:t>
            </w:r>
            <w:r>
              <w:rPr>
                <w:rFonts w:asciiTheme="minorHAnsi" w:eastAsiaTheme="minorEastAsia" w:hAnsiTheme="minorHAnsi" w:cstheme="minorBidi"/>
                <w:noProof/>
                <w:lang w:eastAsia="nb-NO"/>
              </w:rPr>
              <w:tab/>
            </w:r>
            <w:r w:rsidRPr="004365DD">
              <w:rPr>
                <w:rStyle w:val="Hyperlink"/>
                <w:noProof/>
              </w:rPr>
              <w:t>Forløp 2</w:t>
            </w:r>
            <w:r>
              <w:rPr>
                <w:noProof/>
                <w:webHidden/>
              </w:rPr>
              <w:tab/>
            </w:r>
            <w:r>
              <w:rPr>
                <w:noProof/>
                <w:webHidden/>
              </w:rPr>
              <w:fldChar w:fldCharType="begin"/>
            </w:r>
            <w:r>
              <w:rPr>
                <w:noProof/>
                <w:webHidden/>
              </w:rPr>
              <w:instrText xml:space="preserve"> PAGEREF _Toc85536852 \h </w:instrText>
            </w:r>
            <w:r>
              <w:rPr>
                <w:noProof/>
                <w:webHidden/>
              </w:rPr>
              <w:fldChar w:fldCharType="separate"/>
            </w:r>
            <w:r>
              <w:rPr>
                <w:noProof/>
                <w:webHidden/>
              </w:rPr>
              <w:t>14</w:t>
            </w:r>
            <w:r>
              <w:rPr>
                <w:noProof/>
                <w:webHidden/>
              </w:rPr>
              <w:fldChar w:fldCharType="end"/>
            </w:r>
          </w:hyperlink>
        </w:p>
        <w:p w:rsidR="008B5EF0" w14:paraId="75E66712" w14:textId="70692FC0">
          <w:pPr>
            <w:pStyle w:val="TOC1"/>
            <w:tabs>
              <w:tab w:val="right" w:leader="dot" w:pos="9920"/>
            </w:tabs>
            <w:rPr>
              <w:rFonts w:asciiTheme="minorHAnsi" w:eastAsiaTheme="minorEastAsia" w:hAnsiTheme="minorHAnsi" w:cstheme="minorBidi"/>
              <w:noProof/>
              <w:lang w:eastAsia="nb-NO"/>
            </w:rPr>
          </w:pPr>
          <w:hyperlink w:anchor="_Toc85536853" w:history="1">
            <w:r w:rsidRPr="004365DD">
              <w:rPr>
                <w:rStyle w:val="Hyperlink"/>
                <w:noProof/>
              </w:rPr>
              <w:t>6.</w:t>
            </w:r>
            <w:r>
              <w:rPr>
                <w:rFonts w:asciiTheme="minorHAnsi" w:eastAsiaTheme="minorEastAsia" w:hAnsiTheme="minorHAnsi" w:cstheme="minorBidi"/>
                <w:noProof/>
                <w:lang w:eastAsia="nb-NO"/>
              </w:rPr>
              <w:tab/>
            </w:r>
            <w:r w:rsidRPr="004365DD">
              <w:rPr>
                <w:rStyle w:val="Hyperlink"/>
                <w:noProof/>
              </w:rPr>
              <w:t>Forutsetning for vellykket innføring</w:t>
            </w:r>
            <w:r>
              <w:rPr>
                <w:noProof/>
                <w:webHidden/>
              </w:rPr>
              <w:tab/>
            </w:r>
            <w:r>
              <w:rPr>
                <w:noProof/>
                <w:webHidden/>
              </w:rPr>
              <w:fldChar w:fldCharType="begin"/>
            </w:r>
            <w:r>
              <w:rPr>
                <w:noProof/>
                <w:webHidden/>
              </w:rPr>
              <w:instrText xml:space="preserve"> PAGEREF _Toc85536853 \h </w:instrText>
            </w:r>
            <w:r>
              <w:rPr>
                <w:noProof/>
                <w:webHidden/>
              </w:rPr>
              <w:fldChar w:fldCharType="separate"/>
            </w:r>
            <w:r>
              <w:rPr>
                <w:noProof/>
                <w:webHidden/>
              </w:rPr>
              <w:t>14</w:t>
            </w:r>
            <w:r>
              <w:rPr>
                <w:noProof/>
                <w:webHidden/>
              </w:rPr>
              <w:fldChar w:fldCharType="end"/>
            </w:r>
          </w:hyperlink>
        </w:p>
        <w:p w:rsidR="008B5EF0" w14:paraId="230D1367" w14:textId="708B1498">
          <w:pPr>
            <w:pStyle w:val="TOC1"/>
            <w:tabs>
              <w:tab w:val="right" w:leader="dot" w:pos="9920"/>
            </w:tabs>
            <w:rPr>
              <w:rFonts w:asciiTheme="minorHAnsi" w:eastAsiaTheme="minorEastAsia" w:hAnsiTheme="minorHAnsi" w:cstheme="minorBidi"/>
              <w:noProof/>
              <w:lang w:eastAsia="nb-NO"/>
            </w:rPr>
          </w:pPr>
          <w:hyperlink w:anchor="_Toc85536854" w:history="1">
            <w:r w:rsidRPr="004365DD">
              <w:rPr>
                <w:rStyle w:val="Hyperlink"/>
                <w:noProof/>
              </w:rPr>
              <w:t>7.</w:t>
            </w:r>
            <w:r>
              <w:rPr>
                <w:rFonts w:asciiTheme="minorHAnsi" w:eastAsiaTheme="minorEastAsia" w:hAnsiTheme="minorHAnsi" w:cstheme="minorBidi"/>
                <w:noProof/>
                <w:lang w:eastAsia="nb-NO"/>
              </w:rPr>
              <w:tab/>
            </w:r>
            <w:r w:rsidRPr="004365DD">
              <w:rPr>
                <w:rStyle w:val="Hyperlink"/>
                <w:noProof/>
              </w:rPr>
              <w:t>Risikomomenter</w:t>
            </w:r>
            <w:r>
              <w:rPr>
                <w:noProof/>
                <w:webHidden/>
              </w:rPr>
              <w:tab/>
            </w:r>
            <w:r>
              <w:rPr>
                <w:noProof/>
                <w:webHidden/>
              </w:rPr>
              <w:fldChar w:fldCharType="begin"/>
            </w:r>
            <w:r>
              <w:rPr>
                <w:noProof/>
                <w:webHidden/>
              </w:rPr>
              <w:instrText xml:space="preserve"> PAGEREF _Toc85536854 \h </w:instrText>
            </w:r>
            <w:r>
              <w:rPr>
                <w:noProof/>
                <w:webHidden/>
              </w:rPr>
              <w:fldChar w:fldCharType="separate"/>
            </w:r>
            <w:r>
              <w:rPr>
                <w:noProof/>
                <w:webHidden/>
              </w:rPr>
              <w:t>15</w:t>
            </w:r>
            <w:r>
              <w:rPr>
                <w:noProof/>
                <w:webHidden/>
              </w:rPr>
              <w:fldChar w:fldCharType="end"/>
            </w:r>
          </w:hyperlink>
        </w:p>
        <w:p w:rsidR="008B5EF0" w14:paraId="47AE259E" w14:textId="49AAB0E8">
          <w:pPr>
            <w:pStyle w:val="TOC1"/>
            <w:tabs>
              <w:tab w:val="right" w:leader="dot" w:pos="9920"/>
            </w:tabs>
            <w:rPr>
              <w:rFonts w:asciiTheme="minorHAnsi" w:eastAsiaTheme="minorEastAsia" w:hAnsiTheme="minorHAnsi" w:cstheme="minorBidi"/>
              <w:noProof/>
              <w:lang w:eastAsia="nb-NO"/>
            </w:rPr>
          </w:pPr>
          <w:hyperlink w:anchor="_Toc85536855" w:history="1">
            <w:r w:rsidRPr="004365DD">
              <w:rPr>
                <w:rStyle w:val="Hyperlink"/>
                <w:noProof/>
              </w:rPr>
              <w:t>8.</w:t>
            </w:r>
            <w:r>
              <w:rPr>
                <w:rFonts w:asciiTheme="minorHAnsi" w:eastAsiaTheme="minorEastAsia" w:hAnsiTheme="minorHAnsi" w:cstheme="minorBidi"/>
                <w:noProof/>
                <w:lang w:eastAsia="nb-NO"/>
              </w:rPr>
              <w:tab/>
            </w:r>
            <w:r w:rsidRPr="004365DD">
              <w:rPr>
                <w:rStyle w:val="Hyperlink"/>
                <w:noProof/>
              </w:rPr>
              <w:t>Omfang og tidsfasing</w:t>
            </w:r>
            <w:r>
              <w:rPr>
                <w:noProof/>
                <w:webHidden/>
              </w:rPr>
              <w:tab/>
            </w:r>
            <w:r>
              <w:rPr>
                <w:noProof/>
                <w:webHidden/>
              </w:rPr>
              <w:fldChar w:fldCharType="begin"/>
            </w:r>
            <w:r>
              <w:rPr>
                <w:noProof/>
                <w:webHidden/>
              </w:rPr>
              <w:instrText xml:space="preserve"> PAGEREF _Toc85536855 \h </w:instrText>
            </w:r>
            <w:r>
              <w:rPr>
                <w:noProof/>
                <w:webHidden/>
              </w:rPr>
              <w:fldChar w:fldCharType="separate"/>
            </w:r>
            <w:r>
              <w:rPr>
                <w:noProof/>
                <w:webHidden/>
              </w:rPr>
              <w:t>15</w:t>
            </w:r>
            <w:r>
              <w:rPr>
                <w:noProof/>
                <w:webHidden/>
              </w:rPr>
              <w:fldChar w:fldCharType="end"/>
            </w:r>
          </w:hyperlink>
        </w:p>
        <w:p w:rsidR="00704230" w14:paraId="7B6540B5" w14:textId="477B9CBF">
          <w:r>
            <w:rPr>
              <w:b/>
              <w:bCs/>
            </w:rPr>
            <w:fldChar w:fldCharType="end"/>
          </w:r>
        </w:p>
      </w:sdtContent>
    </w:sdt>
    <w:p w:rsidR="0026532E" w14:paraId="733D5942" w14:textId="77777777">
      <w:pPr>
        <w:sectPr w:rsidSect="00B9497B">
          <w:headerReference w:type="default" r:id="rId9"/>
          <w:footerReference w:type="default" r:id="rId10"/>
          <w:pgSz w:w="11910" w:h="16840"/>
          <w:pgMar w:top="993" w:right="820" w:bottom="1140" w:left="1160" w:header="713" w:footer="942" w:gutter="0"/>
          <w:pgNumType w:start="3"/>
          <w:cols w:space="708"/>
        </w:sectPr>
      </w:pPr>
      <w:bookmarkStart w:id="0" w:name="_GoBack"/>
      <w:bookmarkEnd w:id="0"/>
    </w:p>
    <w:p w:rsidR="0037711F" w:rsidP="009F03F0" w14:paraId="1396324A" w14:textId="68A053C4">
      <w:pPr>
        <w:pStyle w:val="Heading1"/>
        <w:numPr>
          <w:ilvl w:val="0"/>
          <w:numId w:val="20"/>
        </w:numPr>
      </w:pPr>
      <w:bookmarkStart w:id="1" w:name="_TOC_250025"/>
      <w:bookmarkStart w:id="2" w:name="_Toc85536842"/>
      <w:bookmarkEnd w:id="1"/>
      <w:r w:rsidRPr="009F03F0">
        <w:t>Sammendrag</w:t>
      </w:r>
      <w:bookmarkEnd w:id="2"/>
    </w:p>
    <w:p w:rsidR="00D92E76" w:rsidRPr="00EC6C2B" w:rsidP="009F03F0" w14:paraId="0413F75C" w14:textId="41A2DBF3">
      <w:pPr>
        <w:pStyle w:val="BodyText"/>
      </w:pPr>
      <w:r>
        <w:t>Planen</w:t>
      </w:r>
      <w:r w:rsidRPr="00EC6C2B">
        <w:t xml:space="preserve"> </w:t>
      </w:r>
      <w:r w:rsidRPr="00EC6C2B" w:rsidR="0037711F">
        <w:t xml:space="preserve">baserer seg på en regionalt styrt innføring av Lukket legemiddelsløyfe (LLS) i </w:t>
      </w:r>
      <w:r w:rsidR="00F16A15">
        <w:t>Helse Sør-Øst RHF</w:t>
      </w:r>
      <w:r w:rsidRPr="00EC6C2B" w:rsidR="0037711F">
        <w:t>. Det legges opp til en trinnvis innføring med utgangspunkt i pasientsikkerhetstrappen som er omtalt i figur</w:t>
      </w:r>
      <w:r w:rsidRPr="00EC6C2B" w:rsidR="002C73BF">
        <w:t xml:space="preserve"> </w:t>
      </w:r>
      <w:r w:rsidR="00466ABF">
        <w:t>5</w:t>
      </w:r>
      <w:r w:rsidRPr="00EC6C2B" w:rsidR="0037711F">
        <w:t>. Det tas utgangspunkt i eksisterende praksis i Sykehuset Innlandet</w:t>
      </w:r>
      <w:r w:rsidR="001D6612">
        <w:t xml:space="preserve"> (SI)</w:t>
      </w:r>
      <w:r w:rsidRPr="00EC6C2B" w:rsidR="0037711F">
        <w:t xml:space="preserve"> og Sykehusapotekene i Innlandet</w:t>
      </w:r>
      <w:r w:rsidRPr="00EC6C2B" w:rsidR="00207BF0">
        <w:t xml:space="preserve"> (SA)</w:t>
      </w:r>
      <w:r w:rsidRPr="00EC6C2B" w:rsidR="0037711F">
        <w:t xml:space="preserve">. </w:t>
      </w:r>
      <w:r w:rsidRPr="00EC6C2B">
        <w:t xml:space="preserve">Første trinn på veien mot LLS etter innføring av elektronisk kurve vil være å øke andelen elektronisk verifiserbare endoser. </w:t>
      </w:r>
      <w:r w:rsidRPr="00EC6C2B" w:rsidR="0037711F">
        <w:t>Progresjonen i innføringen vil være avhengig av produksjonskapasitet og eventuell leveranse fra industrien av elektronisk identifiserb</w:t>
      </w:r>
      <w:r w:rsidRPr="00EC6C2B">
        <w:t>a</w:t>
      </w:r>
      <w:r w:rsidRPr="00EC6C2B" w:rsidR="0037711F">
        <w:t xml:space="preserve">re endoser. </w:t>
      </w:r>
      <w:r w:rsidRPr="00EC6C2B">
        <w:t>Etter hvert som andelen endoser er på et tilstrekkelig nivå vil man kunne påbegynne arbeid med endringer i arbeidsprosesser og etablering av skanningkontroll av endoser.</w:t>
      </w:r>
      <w:r w:rsidRPr="00EC6C2B" w:rsidR="00F165FA">
        <w:t xml:space="preserve"> Det er da en forutsetning at tilstrekkelig funksjonalitet i digitale systemer som understøtter </w:t>
      </w:r>
      <w:r w:rsidRPr="00EC6C2B" w:rsidR="00FE6F37">
        <w:t xml:space="preserve">lukket </w:t>
      </w:r>
      <w:r w:rsidRPr="00EC6C2B" w:rsidR="00F165FA">
        <w:t xml:space="preserve">legemiddelsløyfe er etablert og tilgjengelig. </w:t>
      </w:r>
      <w:r w:rsidRPr="00EC6C2B" w:rsidR="006D1226">
        <w:t xml:space="preserve">Disse tiltakene vil være mulig og ønskelig å iverksette i eksisterende sykehusstruktur. </w:t>
      </w:r>
    </w:p>
    <w:p w:rsidR="00806AD4" w:rsidP="009F03F0" w14:paraId="0D0539ED" w14:textId="0BDD710D">
      <w:pPr>
        <w:pStyle w:val="BodyText"/>
        <w:spacing w:before="0"/>
      </w:pPr>
      <w:r w:rsidRPr="00EC6C2B">
        <w:t>Det vil parallelt pågå piloteringsarbeid som del av Regional standard for lukket legemiddelsløyfe (RLLS)</w:t>
      </w:r>
      <w:r w:rsidRPr="00EC6C2B" w:rsidR="006D1226">
        <w:t xml:space="preserve"> som vil munne ut i en endelig modell for Lukket legemiddelsløyfe i </w:t>
      </w:r>
      <w:r w:rsidR="00F16A15">
        <w:t>Helse Sør-Øst RHF</w:t>
      </w:r>
      <w:r w:rsidRPr="00EC6C2B" w:rsidR="00FE6F37">
        <w:t xml:space="preserve">. Dette </w:t>
      </w:r>
      <w:r w:rsidRPr="00EC6C2B" w:rsidR="006D1226">
        <w:t xml:space="preserve">inkluderer </w:t>
      </w:r>
      <w:r w:rsidRPr="00EC6C2B" w:rsidR="00FE6F37">
        <w:t xml:space="preserve">sporbare </w:t>
      </w:r>
      <w:r w:rsidR="00CD177F">
        <w:t xml:space="preserve">legemidler </w:t>
      </w:r>
      <w:r w:rsidRPr="00EC6C2B" w:rsidR="00FE6F37">
        <w:t xml:space="preserve">merket med </w:t>
      </w:r>
      <w:r w:rsidRPr="00EC6C2B" w:rsidR="006D1226">
        <w:t>pasient</w:t>
      </w:r>
      <w:r w:rsidRPr="00EC6C2B" w:rsidR="00FE6F37">
        <w:t xml:space="preserve">ens </w:t>
      </w:r>
      <w:r w:rsidR="00623690">
        <w:t>identitet</w:t>
      </w:r>
      <w:r w:rsidR="001D6612">
        <w:t xml:space="preserve"> på enhetsnivå</w:t>
      </w:r>
      <w:r w:rsidRPr="00EC6C2B">
        <w:t xml:space="preserve">. </w:t>
      </w:r>
      <w:r w:rsidR="00623690">
        <w:t xml:space="preserve">Planfase 1 ble godkjent i HSØ </w:t>
      </w:r>
      <w:r w:rsidR="009E57E8">
        <w:t xml:space="preserve">juni 2021 med umiddelbar oppstart av pilotering og forberedelser. Sykehusene og Sykehusapotekene har </w:t>
      </w:r>
      <w:r w:rsidR="00730AFE">
        <w:t xml:space="preserve">i 2021 </w:t>
      </w:r>
      <w:r w:rsidR="009E57E8">
        <w:t xml:space="preserve">fått i oppdrag å </w:t>
      </w:r>
      <w:r w:rsidR="00CD177F">
        <w:t xml:space="preserve">påbegynne arbeidet med økt bruk av endoser. </w:t>
      </w:r>
      <w:r w:rsidRPr="00EC6C2B" w:rsidR="006D1226">
        <w:t xml:space="preserve">I forbindelse med etablering av ny sykehusstruktur i </w:t>
      </w:r>
      <w:r w:rsidRPr="00EC6C2B">
        <w:t>Sykehuset Innlandet vil</w:t>
      </w:r>
      <w:r w:rsidRPr="00EC6C2B" w:rsidR="00D92E76">
        <w:t xml:space="preserve"> </w:t>
      </w:r>
      <w:r w:rsidRPr="00EC6C2B" w:rsidR="006D1226">
        <w:t>det være aktuelt å inkludere en mest mulig fremtidsrettet løsning.</w:t>
      </w:r>
    </w:p>
    <w:p w:rsidR="00FE0684" w:rsidP="009F03F0" w14:paraId="4946C482" w14:textId="77777777">
      <w:pPr>
        <w:pStyle w:val="BodyText"/>
        <w:spacing w:before="0"/>
      </w:pPr>
    </w:p>
    <w:p w:rsidR="00806AD4" w:rsidRPr="009F03F0" w:rsidP="009F03F0" w14:paraId="1C8BE0BD" w14:textId="75B77E78">
      <w:pPr>
        <w:pStyle w:val="Heading1"/>
        <w:numPr>
          <w:ilvl w:val="0"/>
          <w:numId w:val="20"/>
        </w:numPr>
      </w:pPr>
      <w:bookmarkStart w:id="3" w:name="_TOC_250024"/>
      <w:bookmarkStart w:id="4" w:name="_Toc85536843"/>
      <w:r w:rsidRPr="009F03F0">
        <w:t>Bakgrunn og</w:t>
      </w:r>
      <w:r w:rsidRPr="009F03F0">
        <w:rPr>
          <w:spacing w:val="-3"/>
        </w:rPr>
        <w:t xml:space="preserve"> </w:t>
      </w:r>
      <w:bookmarkEnd w:id="3"/>
      <w:r w:rsidRPr="009F03F0">
        <w:t>hensikt</w:t>
      </w:r>
      <w:bookmarkEnd w:id="4"/>
    </w:p>
    <w:p w:rsidR="00225A3B" w:rsidP="00225A3B" w14:paraId="51798EA6" w14:textId="646AA611">
      <w:pPr>
        <w:pStyle w:val="Heading2"/>
        <w:numPr>
          <w:ilvl w:val="1"/>
          <w:numId w:val="20"/>
        </w:numPr>
      </w:pPr>
      <w:r>
        <w:t xml:space="preserve"> </w:t>
      </w:r>
      <w:bookmarkStart w:id="5" w:name="_Toc85536844"/>
      <w:r w:rsidRPr="005974B8" w:rsidR="005974B8">
        <w:t>Bakgrunn</w:t>
      </w:r>
      <w:bookmarkEnd w:id="5"/>
    </w:p>
    <w:p w:rsidR="00225A3B" w:rsidP="00225A3B" w14:paraId="185CDFF8" w14:textId="77777777">
      <w:pPr>
        <w:pStyle w:val="BodyText"/>
      </w:pPr>
      <w:r w:rsidRPr="001C5F71">
        <w:t>Legemiddelrelaterte skader er fortsatt blant de hyppigste pasientskadene. Innføringen av elektronisk kurve har lagt grunnlaget for elektronisk støtte for ordinasjon, klargjøring, administrasjon og observasjon av effekt av legemidler. Dette omtales som lukket legemiddelsløyfe (LLS).</w:t>
      </w:r>
      <w:r>
        <w:t xml:space="preserve"> </w:t>
      </w:r>
    </w:p>
    <w:p w:rsidR="00225A3B" w:rsidP="00225A3B" w14:paraId="209283B9" w14:textId="154D1EC3">
      <w:pPr>
        <w:pStyle w:val="BodyText"/>
      </w:pPr>
      <w:r w:rsidRPr="00695CE2">
        <w:rPr>
          <w:noProof/>
          <w:lang w:eastAsia="nb-NO"/>
        </w:rPr>
        <w:drawing>
          <wp:inline distT="0" distB="0" distL="0" distR="0">
            <wp:extent cx="5954508" cy="2865120"/>
            <wp:effectExtent l="0" t="0" r="825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1"/>
                    <a:stretch>
                      <a:fillRect/>
                    </a:stretch>
                  </pic:blipFill>
                  <pic:spPr>
                    <a:xfrm>
                      <a:off x="0" y="0"/>
                      <a:ext cx="6001698" cy="2887826"/>
                    </a:xfrm>
                    <a:prstGeom prst="rect">
                      <a:avLst/>
                    </a:prstGeom>
                  </pic:spPr>
                </pic:pic>
              </a:graphicData>
            </a:graphic>
          </wp:inline>
        </w:drawing>
      </w:r>
    </w:p>
    <w:p w:rsidR="00225A3B" w:rsidP="00225A3B" w14:paraId="156B6BA0" w14:textId="2424FAD7">
      <w:pPr>
        <w:pStyle w:val="BodyText"/>
        <w:rPr>
          <w:rFonts w:ascii="Calibri" w:hAnsi="Calibri"/>
          <w:sz w:val="20"/>
          <w:szCs w:val="20"/>
        </w:rPr>
      </w:pPr>
      <w:r w:rsidRPr="000407B9">
        <w:rPr>
          <w:rFonts w:ascii="Calibri" w:hAnsi="Calibri"/>
          <w:sz w:val="20"/>
          <w:szCs w:val="20"/>
        </w:rPr>
        <w:t>Figur 1: Lukket legemiddelsløyfe i HSØ</w:t>
      </w:r>
    </w:p>
    <w:p w:rsidR="00225A3B" w:rsidP="00225A3B" w14:paraId="33F2D3B5" w14:textId="77777777">
      <w:pPr>
        <w:pStyle w:val="BodyText"/>
        <w:rPr>
          <w:i/>
        </w:rPr>
      </w:pPr>
      <w:r w:rsidRPr="001C5F71">
        <w:t xml:space="preserve">Lukket legemiddelsløyfe er en metode for å sikre at pasienter i sykehus får rett legemiddel, i rett dose, til rett tid og på rett måte. Tekniske løsninger gjør det lettere å kontrollere legemidlene som deles ut opp mot ordinerte legemidler, og sikrer pasientens identitet ved hjelp av elektronisk kontroll. </w:t>
      </w:r>
      <w:r>
        <w:t xml:space="preserve">Bruk av elektronisk identifiserbare endoser vil være grunnlaget for den nye standarden. </w:t>
      </w:r>
    </w:p>
    <w:p w:rsidR="00225A3B" w:rsidRPr="001C5F71" w:rsidP="00225A3B" w14:paraId="05B09F53" w14:textId="77777777">
      <w:pPr>
        <w:pStyle w:val="BodyText"/>
      </w:pPr>
      <w:r>
        <w:rPr>
          <w:i/>
        </w:rPr>
        <w:t>E</w:t>
      </w:r>
      <w:r w:rsidRPr="001C5F71">
        <w:rPr>
          <w:i/>
        </w:rPr>
        <w:t xml:space="preserve">lektronisk identifiserbare endoser </w:t>
      </w:r>
      <w:r>
        <w:t xml:space="preserve">finnes som; ikke pasientspesifikke, pasientspesifikke med </w:t>
      </w:r>
      <w:r w:rsidRPr="001C5F71">
        <w:t xml:space="preserve">pasientmerking eller </w:t>
      </w:r>
      <w:r>
        <w:t xml:space="preserve">pasientspesifikke med </w:t>
      </w:r>
      <w:r w:rsidRPr="001C5F71">
        <w:t>pasientb</w:t>
      </w:r>
      <w:r>
        <w:t xml:space="preserve">inding. </w:t>
      </w:r>
    </w:p>
    <w:p w:rsidR="00225A3B" w:rsidP="00225A3B" w14:paraId="63DCDB16" w14:textId="77777777">
      <w:pPr>
        <w:pStyle w:val="BodyText"/>
      </w:pPr>
      <w:r>
        <w:t xml:space="preserve">Lukket legemiddelsløyfe </w:t>
      </w:r>
      <w:r w:rsidRPr="001C5F71">
        <w:t xml:space="preserve">krever gode og effektive arbeidsprosesser som understøttes med gode IKT-løsninger, effektiv produksjon og forsyning av legemidler. Det langsiktige målet for lukket legemiddelsløyfe i Helse Sør- Øst er å </w:t>
      </w:r>
      <w:r>
        <w:t xml:space="preserve">inkludere </w:t>
      </w:r>
      <w:r w:rsidRPr="001C5F71">
        <w:t>alle legemidler. Begrunnelsen er at det gir vesentlig større gevinster, og at en unngår å opprettholde flere parallelle arbeidsformer.</w:t>
      </w:r>
    </w:p>
    <w:p w:rsidR="00225A3B" w:rsidP="00225A3B" w14:paraId="2ACDD414" w14:textId="731A49EA">
      <w:pPr>
        <w:pStyle w:val="BodyText"/>
      </w:pPr>
      <w:r w:rsidRPr="001C5F71">
        <w:t>Prosjekt Regional standard for Lukket Legemiddelsløyfe</w:t>
      </w:r>
      <w:r>
        <w:t xml:space="preserve"> (RLLS)</w:t>
      </w:r>
      <w:r w:rsidRPr="001C5F71">
        <w:t xml:space="preserve"> i </w:t>
      </w:r>
      <w:r>
        <w:t xml:space="preserve">Helse Sør-Øst RHF </w:t>
      </w:r>
      <w:r w:rsidRPr="001C5F71">
        <w:t xml:space="preserve">ble startet opp våren 2020. Prosjektet har som mål å etablere en regional standard for en lukket legemiddelsløyfe. Prosjektet utreder hvordan dette best skal kombineres med pasientbundet </w:t>
      </w:r>
      <w:r>
        <w:t>og/</w:t>
      </w:r>
      <w:r w:rsidRPr="001C5F71">
        <w:t>eller pasientmerkede endoser.</w:t>
      </w:r>
      <w:r>
        <w:t xml:space="preserve"> Prosjektet planlegger med en kombinert løsning tilpasset ulike typer avdelinger. </w:t>
      </w:r>
      <w:bookmarkStart w:id="6" w:name="_TOC_250023"/>
    </w:p>
    <w:p w:rsidR="00225A3B" w:rsidP="00225A3B" w14:paraId="529278B0" w14:textId="77777777">
      <w:pPr>
        <w:pStyle w:val="BodyText"/>
      </w:pPr>
    </w:p>
    <w:bookmarkEnd w:id="6"/>
    <w:p w:rsidR="00225A3B" w:rsidRPr="00225A3B" w:rsidP="00225A3B" w14:paraId="527B3AA0" w14:textId="47F55346">
      <w:pPr>
        <w:pStyle w:val="Heading2"/>
        <w:numPr>
          <w:ilvl w:val="1"/>
          <w:numId w:val="20"/>
        </w:numPr>
      </w:pPr>
      <w:r>
        <w:t xml:space="preserve"> </w:t>
      </w:r>
      <w:bookmarkStart w:id="7" w:name="_Toc85536845"/>
      <w:r w:rsidRPr="00225A3B">
        <w:rPr>
          <w:color w:val="0F243E" w:themeColor="text2" w:themeShade="80"/>
        </w:rPr>
        <w:t>Hensikt med</w:t>
      </w:r>
      <w:r w:rsidRPr="00225A3B">
        <w:rPr>
          <w:color w:val="0F243E" w:themeColor="text2" w:themeShade="80"/>
          <w:spacing w:val="-1"/>
        </w:rPr>
        <w:t xml:space="preserve"> </w:t>
      </w:r>
      <w:r w:rsidRPr="00225A3B">
        <w:rPr>
          <w:color w:val="0F243E" w:themeColor="text2" w:themeShade="80"/>
        </w:rPr>
        <w:t>innføringsplanen</w:t>
      </w:r>
      <w:bookmarkEnd w:id="7"/>
    </w:p>
    <w:p w:rsidR="00225A3B" w:rsidRPr="00B9497B" w:rsidP="00225A3B" w14:paraId="5C84DC26" w14:textId="77777777">
      <w:pPr>
        <w:pStyle w:val="BodyText"/>
      </w:pPr>
      <w:r>
        <w:t xml:space="preserve">Planen </w:t>
      </w:r>
      <w:r w:rsidRPr="00AF46D4">
        <w:t xml:space="preserve">skal identifisere de overordnede mål og premisser for innføring av lukket legemiddelsløyfe i Sykehuset Innlandet.  </w:t>
      </w:r>
      <w:r>
        <w:t>Planene</w:t>
      </w:r>
      <w:r w:rsidRPr="00AF46D4">
        <w:t xml:space="preserve"> skal si noe om valg av metoder og strategiske vurderinger for det videre arbeidet, basert på d</w:t>
      </w:r>
      <w:r>
        <w:t>agens utgangspunkt og kunnskap.</w:t>
      </w:r>
    </w:p>
    <w:p w:rsidR="00225A3B" w:rsidP="00225A3B" w14:paraId="6FFE7757" w14:textId="77777777">
      <w:pPr>
        <w:pStyle w:val="BodyText"/>
      </w:pPr>
      <w:r w:rsidRPr="00AF46D4">
        <w:t>Det overordnede målet er en vellykket innføring av lukket legemiddelsløyfe, og at effektmålene realiseres.</w:t>
      </w:r>
      <w:r>
        <w:t xml:space="preserve"> Planen</w:t>
      </w:r>
      <w:r w:rsidRPr="00AF46D4">
        <w:t xml:space="preserve"> vil bygge på overordnede føringer og </w:t>
      </w:r>
      <w:r>
        <w:t xml:space="preserve">strategiske </w:t>
      </w:r>
      <w:r w:rsidRPr="00AF46D4">
        <w:t xml:space="preserve">valg som er tatt i for det fremtidige målbildet for </w:t>
      </w:r>
      <w:r>
        <w:t>R</w:t>
      </w:r>
      <w:r w:rsidRPr="00AF46D4">
        <w:t xml:space="preserve">egional standard for LLS i </w:t>
      </w:r>
      <w:r>
        <w:t>Helse Sør-Øst RHF</w:t>
      </w:r>
      <w:r w:rsidRPr="00AF46D4">
        <w:t xml:space="preserve">. </w:t>
      </w:r>
    </w:p>
    <w:p w:rsidR="00225A3B" w:rsidP="00225A3B" w14:paraId="0B5D36AA" w14:textId="6D91BED0">
      <w:pPr>
        <w:pStyle w:val="Heading2"/>
        <w:ind w:left="0" w:firstLine="0"/>
      </w:pPr>
    </w:p>
    <w:p w:rsidR="00A72383" w:rsidP="009F03F0" w14:paraId="1A6322BB" w14:textId="5483A43E">
      <w:pPr>
        <w:pStyle w:val="BodyText"/>
        <w:rPr>
          <w:sz w:val="16"/>
          <w:szCs w:val="16"/>
        </w:rPr>
      </w:pPr>
    </w:p>
    <w:p w:rsidR="00D863F1" w:rsidRPr="00686C6A" w:rsidP="00AD7C32" w14:paraId="417A3D70" w14:textId="130D18BC">
      <w:pPr>
        <w:pStyle w:val="Heading1"/>
        <w:numPr>
          <w:ilvl w:val="0"/>
          <w:numId w:val="20"/>
        </w:numPr>
      </w:pPr>
      <w:bookmarkStart w:id="8" w:name="_TOC_250010"/>
      <w:r>
        <w:br w:type="column"/>
      </w:r>
      <w:bookmarkStart w:id="9" w:name="_Toc85536846"/>
      <w:r w:rsidRPr="00686C6A">
        <w:t>Modeller for lukket</w:t>
      </w:r>
      <w:r w:rsidRPr="00686C6A">
        <w:rPr>
          <w:spacing w:val="-4"/>
        </w:rPr>
        <w:t xml:space="preserve"> </w:t>
      </w:r>
      <w:bookmarkEnd w:id="8"/>
      <w:r w:rsidRPr="00686C6A">
        <w:t>legemiddelsløyfe</w:t>
      </w:r>
      <w:bookmarkEnd w:id="9"/>
    </w:p>
    <w:p w:rsidR="009F03F0" w:rsidP="009F03F0" w14:paraId="0993C4B6" w14:textId="717382E7">
      <w:pPr>
        <w:pStyle w:val="BodyText"/>
      </w:pPr>
      <w:r w:rsidRPr="001C5F71">
        <w:t>Klargjøring og merking av legemidler er en oppgave som er velegnet for automatisering, både med tanke på kvalitet og ressursbruk. Det er mange løsninger tilgjengelig i markedet som understøtter automatisering og lukket legemiddelsløyfe.</w:t>
      </w:r>
      <w:r>
        <w:t xml:space="preserve"> I det fremtidige målbildet for regional standard for LLS i </w:t>
      </w:r>
      <w:r w:rsidR="00F16A15">
        <w:t>Helse Sør-Øst RHF</w:t>
      </w:r>
      <w:r>
        <w:t xml:space="preserve"> ser man for seg en kombinasjon av elektronisk identifiserbare endoser og pasientspesifikke endoser</w:t>
      </w:r>
      <w:r w:rsidR="00B61BE0">
        <w:t xml:space="preserve"> (pasientmerket eller pasientbundet)</w:t>
      </w:r>
      <w:r w:rsidR="00A72383">
        <w:t>.</w:t>
      </w:r>
    </w:p>
    <w:p w:rsidR="00A72383" w:rsidP="009F03F0" w14:paraId="7FDF30D4" w14:textId="543C83A5">
      <w:pPr>
        <w:pStyle w:val="BodyText"/>
      </w:pPr>
    </w:p>
    <w:p w:rsidR="00A72383" w:rsidRPr="005974B8" w:rsidP="009F03F0" w14:paraId="309326A9" w14:textId="025103D1">
      <w:pPr>
        <w:pStyle w:val="BodyText"/>
        <w:rPr>
          <w:sz w:val="22"/>
        </w:rPr>
      </w:pPr>
      <w:r>
        <w:rPr>
          <w:noProof/>
          <w:lang w:eastAsia="nb-NO"/>
        </w:rPr>
        <w:drawing>
          <wp:inline distT="0" distB="0" distL="0" distR="0">
            <wp:extent cx="5633720" cy="2754439"/>
            <wp:effectExtent l="0" t="0" r="5080" b="825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64728" cy="2769599"/>
                    </a:xfrm>
                    <a:prstGeom prst="rect">
                      <a:avLst/>
                    </a:prstGeom>
                  </pic:spPr>
                </pic:pic>
              </a:graphicData>
            </a:graphic>
          </wp:inline>
        </w:drawing>
      </w:r>
    </w:p>
    <w:p w:rsidR="00A72383" w:rsidRPr="000407B9" w:rsidP="00A72383" w14:paraId="3EDFFB42" w14:textId="77777777">
      <w:pPr>
        <w:pStyle w:val="BodyText"/>
        <w:rPr>
          <w:rFonts w:ascii="Calibri" w:hAnsi="Calibri"/>
          <w:sz w:val="20"/>
          <w:szCs w:val="20"/>
        </w:rPr>
      </w:pPr>
      <w:bookmarkStart w:id="10" w:name="_TOC_250018"/>
      <w:r w:rsidRPr="000407B9">
        <w:rPr>
          <w:rFonts w:ascii="Calibri" w:hAnsi="Calibri"/>
          <w:sz w:val="20"/>
          <w:szCs w:val="20"/>
        </w:rPr>
        <w:t xml:space="preserve">Figur 2. Fremtidig målbilde for regional standard for Lukket legemiddelsløyfe (LLS) i HSØ </w:t>
      </w:r>
    </w:p>
    <w:p w:rsidR="00A72383" w:rsidP="00A72383" w14:paraId="225D1591" w14:textId="77777777">
      <w:pPr>
        <w:pStyle w:val="BodyText"/>
        <w:rPr>
          <w:b/>
        </w:rPr>
      </w:pPr>
    </w:p>
    <w:p w:rsidR="00A72383" w:rsidP="00A72383" w14:paraId="13DDD953" w14:textId="7E83F9AB">
      <w:pPr>
        <w:pStyle w:val="BodyText"/>
      </w:pPr>
      <w:r w:rsidRPr="001C5F71">
        <w:rPr>
          <w:b/>
        </w:rPr>
        <w:t xml:space="preserve">Endoser: </w:t>
      </w:r>
      <w:r w:rsidRPr="001C5F71">
        <w:t>Elektronisk identifiserbare endoser er en forutsetning for innføring av lukket legemiddelsløyfe og vil være basisgrunnlaget i en regional standard. Legemiddelet skal kunne skannes og gjenkjennes med en unik identifiserbar kode av produktet på enhetsnivå, slik at det elektronisk kan kontrolleres mot forordning i den elektroniske legemiddelkurven, MetaVision.</w:t>
      </w:r>
      <w:r w:rsidR="0019623B">
        <w:t xml:space="preserve"> </w:t>
      </w:r>
      <w:r>
        <w:t xml:space="preserve">Endoser </w:t>
      </w:r>
      <w:r w:rsidRPr="009F03F0">
        <w:t>foreligger</w:t>
      </w:r>
      <w:r>
        <w:t xml:space="preserve"> som enten industrifremstilte </w:t>
      </w:r>
      <w:r w:rsidR="00456F44">
        <w:t>(i</w:t>
      </w:r>
      <w:r>
        <w:t>ndustri</w:t>
      </w:r>
      <w:r w:rsidR="0019623B">
        <w:t>e</w:t>
      </w:r>
      <w:r>
        <w:t xml:space="preserve">ndoser) eller som sykehusapotekfremstilte endoser (SA </w:t>
      </w:r>
      <w:r w:rsidR="00456F44">
        <w:t>e</w:t>
      </w:r>
      <w:r>
        <w:t xml:space="preserve">ndoser).  </w:t>
      </w:r>
    </w:p>
    <w:p w:rsidR="00A72383" w:rsidP="00A72383" w14:paraId="301193DA" w14:textId="77777777">
      <w:pPr>
        <w:pStyle w:val="BodyText"/>
        <w:rPr>
          <w:b/>
        </w:rPr>
      </w:pPr>
    </w:p>
    <w:p w:rsidR="00A72383" w:rsidRPr="001C5F71" w:rsidP="00A72383" w14:paraId="5723C841" w14:textId="3E286E05">
      <w:pPr>
        <w:pStyle w:val="BodyText"/>
      </w:pPr>
      <w:r w:rsidRPr="001C5F71">
        <w:rPr>
          <w:b/>
        </w:rPr>
        <w:t xml:space="preserve">Pasientmerket: </w:t>
      </w:r>
      <w:r w:rsidRPr="001C5F71">
        <w:t>En pasientmerket modell innebærer at den enke</w:t>
      </w:r>
      <w:r>
        <w:t xml:space="preserve">lte elektronisk identifiserbare </w:t>
      </w:r>
      <w:r w:rsidRPr="001C5F71">
        <w:t>endose merkes med</w:t>
      </w:r>
      <w:r>
        <w:t xml:space="preserve"> pasientens identitet</w:t>
      </w:r>
      <w:r w:rsidRPr="001C5F71">
        <w:t>, legemiddel/styrke, dosering og tidspunkt når dosen skal inntas. Legemidler til samme pasient leveres samlet, i en remse, vanligvis til alle doseringer for ett døgn om gangen. Pasientmerkede legemidler er kun aktuelt for pakking av tabletter og kapsler og kan ikke gjenbrukes ved endringer i forordning.</w:t>
      </w:r>
    </w:p>
    <w:p w:rsidR="00A72383" w:rsidP="00A72383" w14:paraId="4F609692" w14:textId="77777777">
      <w:pPr>
        <w:pStyle w:val="BodyText"/>
        <w:rPr>
          <w:b/>
        </w:rPr>
      </w:pPr>
    </w:p>
    <w:p w:rsidR="00A72383" w:rsidP="00A72383" w14:paraId="7AB7294F" w14:textId="244D952D">
      <w:pPr>
        <w:pStyle w:val="BodyText"/>
      </w:pPr>
      <w:r w:rsidRPr="001C5F71">
        <w:rPr>
          <w:b/>
        </w:rPr>
        <w:t xml:space="preserve">Pasientbundet: </w:t>
      </w:r>
      <w:r w:rsidRPr="001C5F71">
        <w:t>En pasientbundet modell baserer seg på bruk av enkeltvis elektronisk identifiserbare endoser som plukkes og samles i en kontainer eller ring for et doseringstidspunkt eller periode for hver pasient. Pasientbundet modell takler flere legemiddelformer enn tabletter og kapsler for ompakking, slik som ampuller, hetteglass og sprøyter. Siden hver endose ikke er merket med pasient navn, er det mulighet for gjenbruk ved eventuelle endringer i forordning.</w:t>
      </w:r>
    </w:p>
    <w:p w:rsidR="0026532E" w:rsidP="00135F35" w14:paraId="41624A60" w14:textId="0025AADD">
      <w:pPr>
        <w:pStyle w:val="Heading1"/>
        <w:numPr>
          <w:ilvl w:val="0"/>
          <w:numId w:val="20"/>
        </w:numPr>
      </w:pPr>
      <w:r>
        <w:rPr>
          <w:highlight w:val="lightGray"/>
        </w:rPr>
        <w:br w:type="column"/>
      </w:r>
      <w:bookmarkStart w:id="11" w:name="_Toc85536847"/>
      <w:r w:rsidR="001C5F71">
        <w:t>Føringer og</w:t>
      </w:r>
      <w:r w:rsidR="001C5F71">
        <w:rPr>
          <w:spacing w:val="-3"/>
        </w:rPr>
        <w:t xml:space="preserve"> </w:t>
      </w:r>
      <w:bookmarkEnd w:id="10"/>
      <w:r w:rsidR="001C5F71">
        <w:t>rammebetingelser</w:t>
      </w:r>
      <w:bookmarkEnd w:id="11"/>
    </w:p>
    <w:p w:rsidR="0026532E" w:rsidRPr="00B9497B" w:rsidP="009F03F0" w14:paraId="72CC107A" w14:textId="77777777">
      <w:pPr>
        <w:pStyle w:val="BodyText"/>
      </w:pPr>
      <w:r w:rsidRPr="00B9497B">
        <w:t>For overordnede føringer og rammebetingelser for prosjekt RLLS henvises det til prosjektets styringsdokument.</w:t>
      </w:r>
    </w:p>
    <w:p w:rsidR="00F4103D" w:rsidRPr="00B9497B" w:rsidP="009F03F0" w14:paraId="19A0FCBA" w14:textId="77777777">
      <w:pPr>
        <w:pStyle w:val="BodyText"/>
      </w:pPr>
      <w:r w:rsidRPr="00B9497B">
        <w:t xml:space="preserve">Den pågående prosessen vedrørende ny sykehusstruktur vil påvirke fremdriftsplan for innføring av LLS i Sykehuset Innlandet. Det vil </w:t>
      </w:r>
      <w:r w:rsidR="00C6054F">
        <w:t xml:space="preserve">sannsynligvis </w:t>
      </w:r>
      <w:r w:rsidRPr="00B9497B">
        <w:t>ikke være aktuelt å gjennomføre endringer som medfører vesentlige investeringer i gamle sykehusbygg som ikke skal videreføres</w:t>
      </w:r>
      <w:r w:rsidRPr="00B9497B" w:rsidR="00B47614">
        <w:t xml:space="preserve">. </w:t>
      </w:r>
    </w:p>
    <w:p w:rsidR="009E5705" w:rsidRPr="00B9497B" w:rsidP="009F03F0" w14:paraId="500C2E55" w14:textId="77777777">
      <w:pPr>
        <w:pStyle w:val="BodyText"/>
      </w:pPr>
      <w:r w:rsidRPr="00B9497B">
        <w:t xml:space="preserve">Helseforetaket skal </w:t>
      </w:r>
      <w:r w:rsidR="00B9497B">
        <w:t>i</w:t>
      </w:r>
      <w:r w:rsidRPr="00B9497B" w:rsidR="00544080">
        <w:t xml:space="preserve">følge «Oppdrag og bestilling 2021» </w:t>
      </w:r>
      <w:r w:rsidRPr="00B9497B">
        <w:t xml:space="preserve">øke bruken av elektronisk identifiserbare legemidler på dosenivå etter hvert som Sykehusapotekene HF kan fremskaffe disse enten gjennom egenproduksjon eller via LIS-avtaler (legemiddelinnkjøpssamarbeidet). Dette som forberedelse til innføring av lukket legemiddelsløyfe. </w:t>
      </w:r>
    </w:p>
    <w:p w:rsidR="0019623B" w:rsidP="0014323A" w14:paraId="43AAC804" w14:textId="16E952D3">
      <w:pPr>
        <w:pStyle w:val="BodyText"/>
        <w:spacing w:after="0"/>
      </w:pPr>
      <w:r w:rsidRPr="00B9497B">
        <w:t xml:space="preserve">Økonomisk langtidsplanlegging (ØLP) for foretaket må ta høyde for investeringer knyttet til LLS. </w:t>
      </w:r>
    </w:p>
    <w:p w:rsidR="009F08C6" w:rsidRPr="0019623B" w:rsidP="009F03F0" w14:paraId="101B30F6" w14:textId="77777777">
      <w:pPr>
        <w:pStyle w:val="BodyText"/>
      </w:pPr>
    </w:p>
    <w:p w:rsidR="0026532E" w:rsidRPr="001C5F71" w:rsidP="00AD7C32" w14:paraId="68552AFD" w14:textId="04FF9716">
      <w:pPr>
        <w:pStyle w:val="Heading2"/>
        <w:numPr>
          <w:ilvl w:val="1"/>
          <w:numId w:val="20"/>
        </w:numPr>
      </w:pPr>
      <w:bookmarkStart w:id="12" w:name="_TOC_250017"/>
      <w:r>
        <w:t xml:space="preserve"> </w:t>
      </w:r>
      <w:bookmarkStart w:id="13" w:name="_Toc85536848"/>
      <w:r w:rsidRPr="001C5F71" w:rsidR="001C5F71">
        <w:t>Eksisterende praksis i</w:t>
      </w:r>
      <w:r w:rsidRPr="001C5F71" w:rsidR="001C5F71">
        <w:rPr>
          <w:spacing w:val="-4"/>
        </w:rPr>
        <w:t xml:space="preserve"> </w:t>
      </w:r>
      <w:bookmarkEnd w:id="12"/>
      <w:r w:rsidRPr="001C5F71" w:rsidR="001C5F71">
        <w:t>H</w:t>
      </w:r>
      <w:r>
        <w:t>else Sør-Øst RHF</w:t>
      </w:r>
      <w:bookmarkEnd w:id="13"/>
      <w:r w:rsidR="00AF46D4">
        <w:t xml:space="preserve"> </w:t>
      </w:r>
    </w:p>
    <w:p w:rsidR="0026532E" w:rsidRPr="00135F35" w:rsidP="00135F35" w14:paraId="265F2047" w14:textId="77777777">
      <w:pPr>
        <w:pStyle w:val="BodyText"/>
      </w:pPr>
      <w:r>
        <w:t xml:space="preserve">Sykehusene i </w:t>
      </w:r>
      <w:r w:rsidR="00F16A15">
        <w:t xml:space="preserve">Helse Sør-Øst RHF </w:t>
      </w:r>
      <w:r>
        <w:t xml:space="preserve">har ulikt utgangspunkt for innføring av lukket legemiddelsløyfe, fra de sykehus som i svært liten grad har tatt i bruk elektronisk identifiserbare endoser til de sykehus som har tatt i bruk en eller annen form for lukking av legemiddelsløyfen; </w:t>
      </w:r>
    </w:p>
    <w:p w:rsidR="0026532E" w:rsidRPr="001C5F71" w:rsidP="009F03F0" w14:paraId="2A65FAA4" w14:textId="77777777">
      <w:pPr>
        <w:pStyle w:val="BodyText"/>
        <w:numPr>
          <w:ilvl w:val="0"/>
          <w:numId w:val="21"/>
        </w:numPr>
      </w:pPr>
      <w:r w:rsidRPr="001C5F71">
        <w:t>Sykehuset Østfold HF har tatt i bruk LLS på sine sengeposter, men mangler fortsatt lesbar merking av mange legemidler, integrasjon med automatisert lageroppdatering og en enkel og sikker mobil skanning</w:t>
      </w:r>
      <w:r w:rsidR="00873C26">
        <w:t>s</w:t>
      </w:r>
      <w:r w:rsidRPr="001C5F71">
        <w:t>løsning ved administrasjon av</w:t>
      </w:r>
      <w:r w:rsidRPr="001C5F71">
        <w:rPr>
          <w:spacing w:val="-6"/>
        </w:rPr>
        <w:t xml:space="preserve"> </w:t>
      </w:r>
      <w:r w:rsidRPr="001C5F71">
        <w:t>legemidler.</w:t>
      </w:r>
    </w:p>
    <w:p w:rsidR="0026532E" w:rsidRPr="001C5F71" w:rsidP="009F03F0" w14:paraId="254D3DEC" w14:textId="77777777">
      <w:pPr>
        <w:pStyle w:val="BodyText"/>
        <w:numPr>
          <w:ilvl w:val="0"/>
          <w:numId w:val="21"/>
        </w:numPr>
      </w:pPr>
      <w:r w:rsidRPr="001C5F71">
        <w:t>Sykehuset Telemark HF gjennomfør</w:t>
      </w:r>
      <w:r w:rsidR="00074B7B">
        <w:t>er</w:t>
      </w:r>
      <w:r w:rsidRPr="001C5F71">
        <w:t xml:space="preserve"> pasientmerkede legemiddelleveranser til tre sengeposter. Pasientdata og doseringstidspunkt overføres direkte til Sykehusapotekets pakkemaskin, mens legemiddelinformasjon legges inn manuelt etter en felles gjennomgang av farmasøyt og sykepleier på</w:t>
      </w:r>
      <w:r w:rsidRPr="001C5F71">
        <w:rPr>
          <w:spacing w:val="-8"/>
        </w:rPr>
        <w:t xml:space="preserve"> </w:t>
      </w:r>
      <w:r w:rsidRPr="001C5F71">
        <w:t>sykehusenhet.</w:t>
      </w:r>
    </w:p>
    <w:p w:rsidR="0026532E" w:rsidRPr="001C5F71" w:rsidP="009F03F0" w14:paraId="1F4D4022" w14:textId="77777777">
      <w:pPr>
        <w:pStyle w:val="BodyText"/>
        <w:numPr>
          <w:ilvl w:val="0"/>
          <w:numId w:val="21"/>
        </w:numPr>
      </w:pPr>
      <w:r w:rsidRPr="001C5F71">
        <w:t>Sykehusapoteket Lørenskog, A</w:t>
      </w:r>
      <w:r w:rsidR="00F16A15">
        <w:t>kershus universitetssykehus</w:t>
      </w:r>
      <w:r w:rsidRPr="001C5F71">
        <w:t xml:space="preserve"> HF har siden 2008 levert majoriteten av legemiddelleveranser til sykehuset ved hjelp av en avansert robot som pakker både perorale og parenterale enheter og leverer disse samle på en ring til postene via sykehusets rørpostsystem.</w:t>
      </w:r>
    </w:p>
    <w:p w:rsidR="00BB55BE" w:rsidRPr="009F03F0" w:rsidP="009F03F0" w14:paraId="71A21112" w14:textId="7715A31C">
      <w:pPr>
        <w:pStyle w:val="BodyText"/>
      </w:pPr>
      <w:r w:rsidRPr="009F03F0">
        <w:t xml:space="preserve">Arbeid med å etablere en regional standard for lukket legemiddelsløyfe vil bestå i å forbedre </w:t>
      </w:r>
      <w:r w:rsidR="006E0243">
        <w:t xml:space="preserve">de </w:t>
      </w:r>
      <w:r w:rsidRPr="009F03F0">
        <w:t xml:space="preserve">eksisterende arbeidsprosessene, samt etablere nye arbeidsprosesser knyttet til pasientspesifikke endoser. </w:t>
      </w:r>
    </w:p>
    <w:p w:rsidR="003F266F" w:rsidP="009F03F0" w14:paraId="7175CCA2" w14:textId="1B35A3CE">
      <w:pPr>
        <w:pStyle w:val="BodyText"/>
      </w:pPr>
      <w:r w:rsidRPr="009F03F0">
        <w:t>«Nye OUS»</w:t>
      </w:r>
      <w:r w:rsidRPr="009F03F0" w:rsidR="00BB55BE">
        <w:t xml:space="preserve"> ser på muligheter for pilotering av </w:t>
      </w:r>
      <w:r w:rsidRPr="009F03F0">
        <w:t>«Farmasitun</w:t>
      </w:r>
      <w:r w:rsidR="00F16A15">
        <w:t xml:space="preserve"> </w:t>
      </w:r>
      <w:r w:rsidRPr="009F03F0">
        <w:t>- del av framtidens legemiddelhåndtering</w:t>
      </w:r>
      <w:r w:rsidRPr="009F03F0" w:rsidR="00544080">
        <w:t>»</w:t>
      </w:r>
      <w:r w:rsidRPr="009F03F0">
        <w:t>. Farmasitun er et spesialtilpasset lokale i tilknytning til en gruppe sykehusenheter, hvor det blir utført spesialiserte legemiddelhåndteringsoppgaver. Farmasitun etableres der hvor det er behov for farmasøytisk</w:t>
      </w:r>
      <w:r w:rsidRPr="001C5F71">
        <w:t xml:space="preserve"> kompetanse eller rent-rom for klargjøring og tilberedning av legemidler. Farmasitunene vil kunne avlaste både arbeidsoppgaver og areal på medisinrommene på de tilhørende enhetene. </w:t>
      </w:r>
    </w:p>
    <w:p w:rsidR="0014323A" w:rsidP="009F03F0" w14:paraId="73D9D1C7" w14:textId="7D625877">
      <w:pPr>
        <w:pStyle w:val="BodyText"/>
      </w:pPr>
    </w:p>
    <w:p w:rsidR="0014323A" w:rsidP="009F03F0" w14:paraId="40E8C950" w14:textId="0444DBF1">
      <w:pPr>
        <w:pStyle w:val="BodyText"/>
      </w:pPr>
    </w:p>
    <w:p w:rsidR="0014323A" w:rsidP="009F03F0" w14:paraId="60B66FAF" w14:textId="1DC90B3A">
      <w:pPr>
        <w:pStyle w:val="BodyText"/>
      </w:pPr>
    </w:p>
    <w:p w:rsidR="0014323A" w:rsidP="009F03F0" w14:paraId="44C0700F" w14:textId="77777777">
      <w:pPr>
        <w:pStyle w:val="BodyText"/>
      </w:pPr>
    </w:p>
    <w:p w:rsidR="001C5F71" w:rsidRPr="00B9497B" w:rsidP="00AD7C32" w14:paraId="4F384EAC" w14:textId="77777777">
      <w:pPr>
        <w:pStyle w:val="Heading2"/>
        <w:numPr>
          <w:ilvl w:val="1"/>
          <w:numId w:val="20"/>
        </w:numPr>
      </w:pPr>
      <w:bookmarkStart w:id="14" w:name="_TOC_250016"/>
      <w:r>
        <w:t xml:space="preserve"> </w:t>
      </w:r>
      <w:bookmarkStart w:id="15" w:name="_Toc85536849"/>
      <w:r w:rsidRPr="00B9497B">
        <w:t>Eksisterende praksis i S</w:t>
      </w:r>
      <w:r w:rsidR="00135F35">
        <w:t>ykehuset Innlandet</w:t>
      </w:r>
      <w:bookmarkEnd w:id="15"/>
    </w:p>
    <w:p w:rsidR="00CD563D" w:rsidP="00FD2D3B" w14:paraId="3E2F0503" w14:textId="48A5C3A1">
      <w:pPr>
        <w:pStyle w:val="BodyText"/>
        <w:spacing w:after="0"/>
      </w:pPr>
      <w:r w:rsidRPr="00762FC5">
        <w:t xml:space="preserve">Sykehuset Innlandet </w:t>
      </w:r>
      <w:r w:rsidR="00AB10FB">
        <w:t xml:space="preserve">vil i løpet av 2021 ha </w:t>
      </w:r>
      <w:r w:rsidRPr="00762FC5">
        <w:t>innfør</w:t>
      </w:r>
      <w:r w:rsidR="00AB10FB">
        <w:t>t</w:t>
      </w:r>
      <w:r w:rsidRPr="00762FC5">
        <w:t xml:space="preserve">elektronisk kurve som første skritt på veien mot LLS. Elektronisk kurve og </w:t>
      </w:r>
      <w:r w:rsidR="00873C26">
        <w:t xml:space="preserve">økt bruk av </w:t>
      </w:r>
      <w:r w:rsidRPr="00762FC5">
        <w:t xml:space="preserve">endoser danner grunnlag for </w:t>
      </w:r>
      <w:r w:rsidRPr="00762FC5" w:rsidR="009A1108">
        <w:t>videre innføring av LLS</w:t>
      </w:r>
      <w:r w:rsidR="003237DC">
        <w:t>.</w:t>
      </w:r>
    </w:p>
    <w:p w:rsidR="00FD2D3B" w:rsidP="00FD2D3B" w14:paraId="1A4EDBD2" w14:textId="77777777">
      <w:pPr>
        <w:pStyle w:val="BodyText"/>
        <w:spacing w:before="0" w:after="0"/>
        <w:rPr>
          <w:b/>
        </w:rPr>
      </w:pPr>
    </w:p>
    <w:p w:rsidR="00CD563D" w:rsidRPr="009F03F0" w:rsidP="00FD2D3B" w14:paraId="2CE0067A" w14:textId="645563FE">
      <w:pPr>
        <w:pStyle w:val="BodyText"/>
        <w:spacing w:before="0"/>
        <w:rPr>
          <w:b/>
        </w:rPr>
      </w:pPr>
      <w:r>
        <w:rPr>
          <w:b/>
        </w:rPr>
        <w:t>Bruk av e</w:t>
      </w:r>
      <w:r w:rsidRPr="009F03F0" w:rsidR="003237DC">
        <w:rPr>
          <w:b/>
        </w:rPr>
        <w:t xml:space="preserve">ndoser </w:t>
      </w:r>
    </w:p>
    <w:p w:rsidR="00BF2B45" w:rsidP="009F03F0" w14:paraId="29654D9D" w14:textId="215874E0">
      <w:pPr>
        <w:pStyle w:val="BodyText"/>
      </w:pPr>
      <w:r w:rsidRPr="00762FC5">
        <w:t>Sykehus</w:t>
      </w:r>
      <w:r w:rsidRPr="00762FC5" w:rsidR="00AF46D4">
        <w:t>e</w:t>
      </w:r>
      <w:r w:rsidRPr="00762FC5">
        <w:t xml:space="preserve">t Innlandet har i liten grad tatt </w:t>
      </w:r>
      <w:r w:rsidRPr="00762FC5" w:rsidR="00967F89">
        <w:t>i</w:t>
      </w:r>
      <w:r w:rsidRPr="00762FC5">
        <w:t xml:space="preserve"> bruk endoser sammenlignet med andre </w:t>
      </w:r>
      <w:r w:rsidR="00F16A15">
        <w:t>helseforetak</w:t>
      </w:r>
      <w:r w:rsidRPr="00762FC5">
        <w:t xml:space="preserve"> i regionen</w:t>
      </w:r>
      <w:r>
        <w:t>.</w:t>
      </w:r>
      <w:r w:rsidR="00873C26">
        <w:t xml:space="preserve"> Figur </w:t>
      </w:r>
      <w:r w:rsidR="00466ABF">
        <w:t>3</w:t>
      </w:r>
      <w:r w:rsidR="00873C26">
        <w:t xml:space="preserve"> viser status for bruk av industriendoser og SA endoser</w:t>
      </w:r>
      <w:r w:rsidR="006E0243">
        <w:t xml:space="preserve"> ved utgangen av 2020</w:t>
      </w:r>
      <w:r w:rsidR="00873C26">
        <w:t xml:space="preserve">, samt eksisterende og potensiell sortimentsbredde av </w:t>
      </w:r>
      <w:r w:rsidR="00664FE8">
        <w:t xml:space="preserve">SA </w:t>
      </w:r>
      <w:r w:rsidR="00873C26">
        <w:t>endoser</w:t>
      </w:r>
      <w:r w:rsidR="009A008B">
        <w:t xml:space="preserve">. </w:t>
      </w:r>
      <w:r w:rsidR="00664FE8">
        <w:t>S</w:t>
      </w:r>
      <w:r w:rsidR="003436F6">
        <w:t xml:space="preserve">ykehuset Innlandet </w:t>
      </w:r>
      <w:r w:rsidR="00F16A15">
        <w:t>Tynset</w:t>
      </w:r>
      <w:r w:rsidRPr="00B9497B" w:rsidR="009A008B">
        <w:t xml:space="preserve"> inngår ikke i </w:t>
      </w:r>
      <w:r w:rsidR="006E0243">
        <w:t xml:space="preserve">denne </w:t>
      </w:r>
      <w:r w:rsidRPr="00B9497B" w:rsidR="009A008B">
        <w:t>oversikten da sykehuset ikke mottar vareleveranse fra</w:t>
      </w:r>
      <w:r w:rsidRPr="00B9497B" w:rsidR="00873C26">
        <w:t xml:space="preserve"> Sykehusapoteken</w:t>
      </w:r>
      <w:r w:rsidRPr="00B9497B" w:rsidR="00AB10FB">
        <w:t>e</w:t>
      </w:r>
      <w:r w:rsidRPr="00B9497B" w:rsidR="00873C26">
        <w:t xml:space="preserve"> H</w:t>
      </w:r>
      <w:r w:rsidRPr="00B9497B" w:rsidR="009A008B">
        <w:t>F</w:t>
      </w:r>
      <w:r w:rsidR="0019623B">
        <w:t xml:space="preserve">, </w:t>
      </w:r>
      <w:r w:rsidR="001D7E5F">
        <w:t>og denne figuren er basert på salg fra de respektive sykehusapotek i HSØ</w:t>
      </w:r>
      <w:r w:rsidRPr="00B9497B" w:rsidR="009A008B">
        <w:t>.</w:t>
      </w:r>
      <w:r w:rsidR="00664FE8">
        <w:t xml:space="preserve"> S</w:t>
      </w:r>
      <w:r w:rsidR="003436F6">
        <w:t xml:space="preserve">ykehuset Innlandet </w:t>
      </w:r>
      <w:r w:rsidR="006E0243">
        <w:t xml:space="preserve">Sanderud og </w:t>
      </w:r>
      <w:r w:rsidR="00664FE8">
        <w:t>S</w:t>
      </w:r>
      <w:r w:rsidR="003436F6">
        <w:t>ykehuset Innlandet</w:t>
      </w:r>
      <w:r w:rsidR="00664FE8">
        <w:t xml:space="preserve"> </w:t>
      </w:r>
      <w:r w:rsidR="006E0243">
        <w:t xml:space="preserve">Reinsvoll er inkludert i tallen for hhv Hamar og Gjøvik. </w:t>
      </w:r>
      <w:r w:rsidRPr="00B9497B" w:rsidR="001F5B19">
        <w:t xml:space="preserve"> Potensiale</w:t>
      </w:r>
      <w:r w:rsidR="00C6054F">
        <w:t>t</w:t>
      </w:r>
      <w:r w:rsidRPr="00B9497B" w:rsidR="001F5B19">
        <w:t xml:space="preserve"> for å øke utnyttelse av tilgjengelige endoser </w:t>
      </w:r>
      <w:r w:rsidRPr="00B9497B" w:rsidR="00AB10FB">
        <w:t xml:space="preserve">i foretaket </w:t>
      </w:r>
      <w:r w:rsidRPr="00B9497B" w:rsidR="001F5B19">
        <w:t xml:space="preserve">er stort. Med dagens sortimentsbredde er det mulig å komme opp </w:t>
      </w:r>
      <w:r w:rsidR="001D7E5F">
        <w:t xml:space="preserve">mot </w:t>
      </w:r>
      <w:r w:rsidRPr="00B9497B" w:rsidR="001F5B19">
        <w:t xml:space="preserve">60-65 prosent endoser. </w:t>
      </w:r>
      <w:r w:rsidR="00330133">
        <w:t xml:space="preserve">For å nå overordnet mål </w:t>
      </w:r>
      <w:r w:rsidR="00664FE8">
        <w:t xml:space="preserve">i RLLS på 80 </w:t>
      </w:r>
      <w:r w:rsidR="003805A8">
        <w:t xml:space="preserve">prosent </w:t>
      </w:r>
      <w:r w:rsidR="00330133">
        <w:t>er vi avhengig av at sortimentsbredde hos S</w:t>
      </w:r>
      <w:r w:rsidR="00664FE8">
        <w:t xml:space="preserve">ykehusapoteket </w:t>
      </w:r>
      <w:r w:rsidR="00330133">
        <w:t xml:space="preserve">Skien utvides som planlagt.  </w:t>
      </w:r>
    </w:p>
    <w:p w:rsidR="0019623B" w:rsidP="009F03F0" w14:paraId="59886CBF" w14:textId="77777777">
      <w:pPr>
        <w:pStyle w:val="BodyText"/>
        <w:rPr>
          <w:b/>
        </w:rPr>
      </w:pPr>
    </w:p>
    <w:p w:rsidR="00BF2B45" w:rsidP="00AD7C32" w14:paraId="2E5F4AF7" w14:textId="77777777">
      <w:pPr>
        <w:pStyle w:val="BodyText"/>
      </w:pPr>
      <w:r w:rsidRPr="00967F89">
        <w:rPr>
          <w:noProof/>
          <w:lang w:eastAsia="nb-NO"/>
        </w:rPr>
        <w:drawing>
          <wp:inline distT="0" distB="0" distL="0" distR="0">
            <wp:extent cx="5972158" cy="2752725"/>
            <wp:effectExtent l="0" t="0" r="0" b="0"/>
            <wp:docPr id="1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2"/>
                    <pic:cNvPicPr>
                      <a:picLocks noChangeAspect="1"/>
                    </pic:cNvPicPr>
                  </pic:nvPicPr>
                  <pic:blipFill>
                    <a:blip xmlns:r="http://schemas.openxmlformats.org/officeDocument/2006/relationships" r:embed="rId13"/>
                    <a:stretch>
                      <a:fillRect/>
                    </a:stretch>
                  </pic:blipFill>
                  <pic:spPr>
                    <a:xfrm>
                      <a:off x="0" y="0"/>
                      <a:ext cx="6002684" cy="2766795"/>
                    </a:xfrm>
                    <a:prstGeom prst="rect">
                      <a:avLst/>
                    </a:prstGeom>
                  </pic:spPr>
                </pic:pic>
              </a:graphicData>
            </a:graphic>
          </wp:inline>
        </w:drawing>
      </w:r>
    </w:p>
    <w:p w:rsidR="003436F6" w:rsidP="00AD7C32" w14:paraId="1FC51D89" w14:textId="668C58B1">
      <w:pPr>
        <w:pStyle w:val="TableParagraph"/>
      </w:pPr>
      <w:r w:rsidRPr="009F03F0">
        <w:t>Figur</w:t>
      </w:r>
      <w:r w:rsidR="000407B9">
        <w:t xml:space="preserve"> 3</w:t>
      </w:r>
      <w:r w:rsidRPr="009F03F0">
        <w:t xml:space="preserve">. </w:t>
      </w:r>
      <w:r w:rsidRPr="009F03F0" w:rsidR="009A008B">
        <w:t>Potensiale fo</w:t>
      </w:r>
      <w:r w:rsidR="009F03F0">
        <w:t>r utvidelse av endosebruk i Helse Sør-Øst RHF</w:t>
      </w:r>
      <w:r w:rsidR="00664FE8">
        <w:t xml:space="preserve"> fordelt etter leverende sykehusapotek</w:t>
      </w:r>
      <w:r>
        <w:t xml:space="preserve">. </w:t>
      </w:r>
    </w:p>
    <w:p w:rsidR="009A008B" w:rsidRPr="009F03F0" w:rsidP="00AD7C32" w14:paraId="18CBB1C9" w14:textId="0E7D6783">
      <w:pPr>
        <w:pStyle w:val="TableParagraph"/>
      </w:pPr>
      <w:r>
        <w:t>(SI HF Lillehammer = SA Lillehammer, SIHF Elverum = SA Elverum, SIHF Hamar = SA Hamar og SIHF Gjøvik = SA Gjøvik)</w:t>
      </w:r>
    </w:p>
    <w:p w:rsidR="00873C26" w:rsidRPr="007B2CFE" w:rsidP="00873C26" w14:paraId="59702D81" w14:textId="77777777">
      <w:pPr>
        <w:pStyle w:val="Heading2"/>
        <w:tabs>
          <w:tab w:val="left" w:pos="1671"/>
          <w:tab w:val="left" w:pos="1672"/>
        </w:tabs>
        <w:spacing w:before="1"/>
        <w:ind w:left="284" w:firstLine="0"/>
        <w:rPr>
          <w:b w:val="0"/>
          <w:color w:val="7030A0"/>
          <w:sz w:val="22"/>
          <w:szCs w:val="22"/>
        </w:rPr>
      </w:pPr>
    </w:p>
    <w:p w:rsidR="0019623B" w:rsidP="0019623B" w14:paraId="6C5BE23E" w14:textId="290C5DAF">
      <w:pPr>
        <w:pStyle w:val="BodyText"/>
        <w:rPr>
          <w:b/>
        </w:rPr>
      </w:pPr>
      <w:r>
        <w:t>Det er stor variasjon i endosebruk i</w:t>
      </w:r>
      <w:r w:rsidR="00D50D22">
        <w:t>nternt i</w:t>
      </w:r>
      <w:r>
        <w:t xml:space="preserve"> S</w:t>
      </w:r>
      <w:r>
        <w:t>ykehuset Innlandet</w:t>
      </w:r>
      <w:r>
        <w:t>.</w:t>
      </w:r>
      <w:r w:rsidR="00D50D22">
        <w:t xml:space="preserve"> </w:t>
      </w:r>
      <w:r>
        <w:t>Figur 4 viser den interne variasjonen i dekningsgrad av perorale endoser per divisjon i</w:t>
      </w:r>
      <w:r w:rsidR="00FF5E95">
        <w:t xml:space="preserve"> 2020</w:t>
      </w:r>
      <w:r>
        <w:t>.</w:t>
      </w:r>
    </w:p>
    <w:p w:rsidR="00D50D22" w:rsidP="009F03F0" w14:paraId="3F8EA4A0" w14:textId="1F52E992">
      <w:pPr>
        <w:pStyle w:val="BodyText"/>
        <w:rPr>
          <w:b/>
        </w:rPr>
      </w:pPr>
      <w:r>
        <w:t xml:space="preserve">I 2020 varierte antall solgte </w:t>
      </w:r>
      <w:r w:rsidR="00AB10FB">
        <w:t>varenummer</w:t>
      </w:r>
      <w:r>
        <w:t xml:space="preserve"> </w:t>
      </w:r>
      <w:r w:rsidR="00906F47">
        <w:t>per divisjon fra 44-270</w:t>
      </w:r>
      <w:r>
        <w:t xml:space="preserve">. </w:t>
      </w:r>
      <w:r w:rsidR="00F16A15">
        <w:t xml:space="preserve">Sykehuset Innlandet </w:t>
      </w:r>
      <w:r>
        <w:t>Lillehamme</w:t>
      </w:r>
      <w:r w:rsidR="00C84E55">
        <w:t>r har mange enheter med endoser i</w:t>
      </w:r>
      <w:r>
        <w:t xml:space="preserve"> basislager</w:t>
      </w:r>
      <w:r w:rsidR="00AB10FB">
        <w:t>.</w:t>
      </w:r>
      <w:r>
        <w:t xml:space="preserve"> </w:t>
      </w:r>
      <w:r w:rsidR="00F16A15">
        <w:t xml:space="preserve">Sykehuset Innlandet </w:t>
      </w:r>
      <w:r>
        <w:t xml:space="preserve">Elverum og </w:t>
      </w:r>
      <w:r w:rsidR="00F16A15">
        <w:t xml:space="preserve">Sykehuset Innlandet </w:t>
      </w:r>
      <w:r>
        <w:t>Hamar har noen enheter med en god del endoser i basislagre, samt noe</w:t>
      </w:r>
      <w:r w:rsidR="00C84E55">
        <w:t>n</w:t>
      </w:r>
      <w:r>
        <w:t xml:space="preserve"> med sporadisk bruk av endoser.</w:t>
      </w:r>
      <w:r w:rsidR="006E0243">
        <w:t xml:space="preserve"> </w:t>
      </w:r>
      <w:r w:rsidR="003805A8">
        <w:t>Her har f</w:t>
      </w:r>
      <w:r w:rsidR="006E0243">
        <w:t>lere nye</w:t>
      </w:r>
      <w:r w:rsidR="003805A8">
        <w:t xml:space="preserve"> enheter</w:t>
      </w:r>
      <w:r w:rsidR="009D3D48">
        <w:t xml:space="preserve"> påbegynt arbeid med overføring til endoser våren 2021. </w:t>
      </w:r>
      <w:r w:rsidR="00F16A15">
        <w:t xml:space="preserve">Sykehuset Innlandet </w:t>
      </w:r>
      <w:r>
        <w:t xml:space="preserve">Gjøvik, </w:t>
      </w:r>
      <w:r w:rsidR="00F16A15">
        <w:t xml:space="preserve">Sykehuset Innlandet </w:t>
      </w:r>
      <w:r>
        <w:t xml:space="preserve">Tynset, </w:t>
      </w:r>
      <w:r w:rsidR="0019623B">
        <w:t>D</w:t>
      </w:r>
      <w:r w:rsidR="00F16A15">
        <w:t xml:space="preserve">ivisjon </w:t>
      </w:r>
      <w:r w:rsidR="00D742F1">
        <w:t xml:space="preserve">Psykisk helsevern </w:t>
      </w:r>
      <w:r>
        <w:t xml:space="preserve">og </w:t>
      </w:r>
      <w:r w:rsidR="0019623B">
        <w:t>D</w:t>
      </w:r>
      <w:r w:rsidR="00F16A15">
        <w:t xml:space="preserve">ivisjon </w:t>
      </w:r>
      <w:r>
        <w:t>Hab</w:t>
      </w:r>
      <w:r w:rsidR="0019623B">
        <w:t xml:space="preserve">ilitering og </w:t>
      </w:r>
      <w:r>
        <w:t>Rehab</w:t>
      </w:r>
      <w:r w:rsidR="00F16A15">
        <w:t>ilitering</w:t>
      </w:r>
      <w:r>
        <w:t xml:space="preserve"> har </w:t>
      </w:r>
      <w:r w:rsidR="00C84E55">
        <w:t xml:space="preserve">mer </w:t>
      </w:r>
      <w:r>
        <w:t xml:space="preserve">sporadisk bruk av endoser. </w:t>
      </w:r>
    </w:p>
    <w:p w:rsidR="0019623B" w:rsidP="009F03F0" w14:paraId="12EB222B" w14:textId="77777777">
      <w:pPr>
        <w:pStyle w:val="BodyText"/>
      </w:pPr>
      <w:r>
        <w:t xml:space="preserve">Der </w:t>
      </w:r>
      <w:r w:rsidR="00D742F1">
        <w:t>sykehus</w:t>
      </w:r>
      <w:r w:rsidR="001322E1">
        <w:t>apoteket</w:t>
      </w:r>
      <w:r w:rsidR="00D50D22">
        <w:t xml:space="preserve"> har </w:t>
      </w:r>
      <w:r>
        <w:t xml:space="preserve">varen i form av </w:t>
      </w:r>
      <w:r w:rsidR="00D50D22">
        <w:t xml:space="preserve">endoser </w:t>
      </w:r>
      <w:r w:rsidR="001322E1">
        <w:t>på</w:t>
      </w:r>
      <w:r w:rsidR="00D50D22">
        <w:t xml:space="preserve"> lager</w:t>
      </w:r>
      <w:r w:rsidR="00F16A15">
        <w:t>,</w:t>
      </w:r>
      <w:r w:rsidR="00BF5255">
        <w:t xml:space="preserve"> </w:t>
      </w:r>
      <w:r w:rsidR="00D50D22">
        <w:t xml:space="preserve">leveres endoser </w:t>
      </w:r>
      <w:r>
        <w:t xml:space="preserve">også </w:t>
      </w:r>
      <w:r w:rsidR="00D50D22">
        <w:t>ved bestilling til enkelt pasie</w:t>
      </w:r>
      <w:r>
        <w:t>n</w:t>
      </w:r>
      <w:r w:rsidR="00D50D22">
        <w:t>ter</w:t>
      </w:r>
      <w:r w:rsidR="001322E1">
        <w:t>.</w:t>
      </w:r>
      <w:r>
        <w:t xml:space="preserve"> </w:t>
      </w:r>
    </w:p>
    <w:p w:rsidR="00FE62B0" w:rsidP="009F03F0" w14:paraId="380761C8" w14:textId="0918AE80">
      <w:pPr>
        <w:pStyle w:val="BodyText"/>
      </w:pPr>
      <w:r>
        <w:t xml:space="preserve">Sykehuset Innlandet </w:t>
      </w:r>
      <w:r w:rsidR="00C84E55">
        <w:t xml:space="preserve">Tynset har </w:t>
      </w:r>
      <w:r w:rsidR="001322E1">
        <w:t>kun</w:t>
      </w:r>
      <w:r w:rsidR="00C84E55">
        <w:t xml:space="preserve"> tilgang til</w:t>
      </w:r>
      <w:r w:rsidR="001322E1">
        <w:t xml:space="preserve"> </w:t>
      </w:r>
      <w:r w:rsidR="009D3D48">
        <w:t>industriendoser</w:t>
      </w:r>
      <w:r w:rsidR="00C84E55">
        <w:t>.</w:t>
      </w:r>
      <w:r w:rsidRPr="008A5328" w:rsidR="008A5328">
        <w:t xml:space="preserve"> </w:t>
      </w:r>
    </w:p>
    <w:p w:rsidR="008A5328" w:rsidP="00135F35" w14:paraId="73EBC287" w14:textId="53028661">
      <w:pPr>
        <w:pStyle w:val="BodyText"/>
      </w:pPr>
      <w:r>
        <w:rPr>
          <w:noProof/>
          <w:lang w:eastAsia="nb-NO"/>
        </w:rPr>
        <w:drawing>
          <wp:inline distT="0" distB="0" distL="0" distR="0">
            <wp:extent cx="5958840" cy="2275377"/>
            <wp:effectExtent l="0" t="0" r="3810" b="0"/>
            <wp:docPr id="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xmlns:r="http://schemas.openxmlformats.org/officeDocument/2006/relationships" r:embed="rId14"/>
                    <a:stretch>
                      <a:fillRect/>
                    </a:stretch>
                  </pic:blipFill>
                  <pic:spPr>
                    <a:xfrm>
                      <a:off x="0" y="0"/>
                      <a:ext cx="6056019" cy="2312485"/>
                    </a:xfrm>
                    <a:prstGeom prst="rect">
                      <a:avLst/>
                    </a:prstGeom>
                  </pic:spPr>
                </pic:pic>
              </a:graphicData>
            </a:graphic>
          </wp:inline>
        </w:drawing>
      </w:r>
    </w:p>
    <w:p w:rsidR="009D3D48" w:rsidP="00AD7C32" w14:paraId="79320F7F" w14:textId="0FB750C3">
      <w:pPr>
        <w:pStyle w:val="TableParagraph"/>
      </w:pPr>
      <w:r w:rsidRPr="008A5328">
        <w:rPr>
          <w:rFonts w:ascii="Calibri" w:hAnsi="Calibri" w:cs="Calibri"/>
        </w:rPr>
        <w:t xml:space="preserve">Figur </w:t>
      </w:r>
      <w:r w:rsidR="000407B9">
        <w:rPr>
          <w:rFonts w:ascii="Calibri" w:hAnsi="Calibri" w:cs="Calibri"/>
        </w:rPr>
        <w:t>4</w:t>
      </w:r>
      <w:r w:rsidRPr="008A5328">
        <w:rPr>
          <w:rFonts w:ascii="Calibri" w:hAnsi="Calibri" w:cs="Calibri"/>
        </w:rPr>
        <w:t>.</w:t>
      </w:r>
      <w:r>
        <w:rPr>
          <w:rFonts w:ascii="Calibri" w:hAnsi="Calibri"/>
        </w:rPr>
        <w:t xml:space="preserve"> Dekningsgrad</w:t>
      </w:r>
      <w:r w:rsidR="009F08C6">
        <w:rPr>
          <w:rFonts w:ascii="Calibri" w:hAnsi="Calibri"/>
        </w:rPr>
        <w:t xml:space="preserve"> (DG)</w:t>
      </w:r>
      <w:r>
        <w:rPr>
          <w:rFonts w:ascii="Calibri" w:hAnsi="Calibri"/>
        </w:rPr>
        <w:t xml:space="preserve"> i Sykehuset Innlandet</w:t>
      </w:r>
      <w:r w:rsidRPr="008A5328">
        <w:t xml:space="preserve"> </w:t>
      </w:r>
      <w:r w:rsidR="00456F44">
        <w:t>av perorale(PO) endoser (i</w:t>
      </w:r>
      <w:r w:rsidRPr="00AD7C32">
        <w:t>ndustri</w:t>
      </w:r>
      <w:r w:rsidR="00456F44">
        <w:t>e</w:t>
      </w:r>
      <w:r w:rsidRPr="00AD7C32">
        <w:t xml:space="preserve">ndoser og SA </w:t>
      </w:r>
      <w:r w:rsidR="00456F44">
        <w:t>e</w:t>
      </w:r>
      <w:r w:rsidRPr="00AD7C32">
        <w:t xml:space="preserve">ndoser) i forhold til forbruk av perorale enheter </w:t>
      </w:r>
      <w:r>
        <w:t>totalt fordelt på divisjon</w:t>
      </w:r>
      <w:r w:rsidR="009F08C6">
        <w:t>er for 2020.</w:t>
      </w:r>
    </w:p>
    <w:p w:rsidR="00B42D91" w:rsidP="00AD7C32" w14:paraId="7BDE0271" w14:textId="03E5D76F">
      <w:pPr>
        <w:pStyle w:val="TableParagraph"/>
      </w:pPr>
    </w:p>
    <w:p w:rsidR="00986FC4" w:rsidRPr="009F03F0" w:rsidP="0014323A" w14:paraId="7A80B6EA" w14:textId="77777777">
      <w:pPr>
        <w:pStyle w:val="BodyText"/>
        <w:spacing w:before="0"/>
        <w:rPr>
          <w:b/>
        </w:rPr>
      </w:pPr>
      <w:r w:rsidRPr="009F03F0">
        <w:rPr>
          <w:b/>
        </w:rPr>
        <w:t>Bruksklare parenterale legemidler</w:t>
      </w:r>
    </w:p>
    <w:p w:rsidR="00845F10" w:rsidP="009F03F0" w14:paraId="36F62B9D" w14:textId="4C8DBF5C">
      <w:pPr>
        <w:pStyle w:val="BodyText"/>
        <w:rPr>
          <w:b/>
        </w:rPr>
      </w:pPr>
      <w:r>
        <w:t xml:space="preserve">RLLS skal omfatte alle typer legemidler også parenterale legemidler som </w:t>
      </w:r>
      <w:r w:rsidR="009F08C6">
        <w:t>utgjør ca 25% av alle legemidler</w:t>
      </w:r>
      <w:r>
        <w:t xml:space="preserve">. </w:t>
      </w:r>
      <w:r w:rsidR="00D742F1">
        <w:t>B</w:t>
      </w:r>
      <w:r w:rsidR="00986FC4">
        <w:t xml:space="preserve">ruksklare parenterale legemidler </w:t>
      </w:r>
      <w:r w:rsidR="00764390">
        <w:t xml:space="preserve">er i liten grad tatt i bruk i Sykehuset Innlandet i dag utover </w:t>
      </w:r>
      <w:r w:rsidR="00607226">
        <w:t xml:space="preserve">noen </w:t>
      </w:r>
      <w:r w:rsidR="00764390">
        <w:t>tradisjonelle infusjoner som kun finnes bruksklare fra produsent</w:t>
      </w:r>
      <w:r>
        <w:t>.</w:t>
      </w:r>
    </w:p>
    <w:p w:rsidR="00D742F1" w:rsidP="0014323A" w14:paraId="1CF40293" w14:textId="5505335B">
      <w:pPr>
        <w:pStyle w:val="BodyText"/>
        <w:spacing w:after="0"/>
      </w:pPr>
      <w:r>
        <w:t>Av sykehusapotekfremstilte bruksklare parenterale l</w:t>
      </w:r>
      <w:r w:rsidR="00986FC4">
        <w:t xml:space="preserve">egemidler </w:t>
      </w:r>
      <w:r>
        <w:t xml:space="preserve">benyttes </w:t>
      </w:r>
      <w:r w:rsidR="00487A47">
        <w:t xml:space="preserve">cytostatika, smerteblandinger, </w:t>
      </w:r>
      <w:r>
        <w:t>parenteral ernæring</w:t>
      </w:r>
      <w:r w:rsidR="00E9680A">
        <w:t>, øyebehandling</w:t>
      </w:r>
      <w:r w:rsidR="00487A47">
        <w:t xml:space="preserve"> og sporadisk antibiotika</w:t>
      </w:r>
      <w:r>
        <w:t>.</w:t>
      </w:r>
      <w:r w:rsidR="00487A47">
        <w:t xml:space="preserve"> </w:t>
      </w:r>
      <w:r>
        <w:t xml:space="preserve">Her er det også interne variasjoner. Cytostatika leveres bruksferdig til alle unntatt </w:t>
      </w:r>
      <w:r w:rsidR="00F16A15">
        <w:t xml:space="preserve">Sykehuset Innlandet </w:t>
      </w:r>
      <w:r>
        <w:t xml:space="preserve">Tynset. Parenteral ernæring leveres bruksklar </w:t>
      </w:r>
      <w:r w:rsidR="00487A47">
        <w:t xml:space="preserve">til </w:t>
      </w:r>
      <w:r w:rsidR="00F16A15">
        <w:t xml:space="preserve">Sykehuset Innlandet </w:t>
      </w:r>
      <w:r w:rsidR="00487A47">
        <w:t xml:space="preserve">Gjøvik </w:t>
      </w:r>
      <w:r>
        <w:t xml:space="preserve">og </w:t>
      </w:r>
      <w:r w:rsidR="00F16A15">
        <w:t xml:space="preserve">Sykehuset Innlandet </w:t>
      </w:r>
      <w:r>
        <w:t>Lil</w:t>
      </w:r>
      <w:r w:rsidR="00487A47">
        <w:t>l</w:t>
      </w:r>
      <w:r>
        <w:t>ehammer</w:t>
      </w:r>
      <w:r w:rsidR="00487A47">
        <w:t>. Pasienttilpassede smerteblandinger tilbys til alle loka</w:t>
      </w:r>
      <w:r w:rsidR="00C6054F">
        <w:t>lisasjoner</w:t>
      </w:r>
      <w:r w:rsidR="009D3D48">
        <w:t>,</w:t>
      </w:r>
      <w:r w:rsidR="00487A47">
        <w:t xml:space="preserve"> men brukes i størst grad på </w:t>
      </w:r>
      <w:r w:rsidR="00F16A15">
        <w:t xml:space="preserve">Sykehuset Innlandet </w:t>
      </w:r>
      <w:r>
        <w:t>Gjøvik</w:t>
      </w:r>
      <w:r w:rsidR="00487A47">
        <w:t xml:space="preserve"> og </w:t>
      </w:r>
      <w:r w:rsidR="00F16A15">
        <w:t xml:space="preserve">Sykehuset Innlandet </w:t>
      </w:r>
      <w:r w:rsidR="00487A47">
        <w:t xml:space="preserve">Lillehammer. </w:t>
      </w:r>
      <w:r w:rsidR="00E9680A">
        <w:t>Øyesprøyter levers til øyeavdelingene</w:t>
      </w:r>
      <w:r w:rsidR="00B42D91">
        <w:t xml:space="preserve"> ved Sykehuset Innlandet Lillehammer og Sykehuset Innlandet Elverum</w:t>
      </w:r>
      <w:r w:rsidR="00E9680A">
        <w:t xml:space="preserve">.  </w:t>
      </w:r>
      <w:r w:rsidR="00487A47">
        <w:t xml:space="preserve">Antibiotika leveres kun i spesielle tilfeller. Sykehusapotekene har nylig igangsatt tilbud om leveranse av </w:t>
      </w:r>
      <w:r w:rsidR="00845F10">
        <w:t xml:space="preserve">antibiotikapumper </w:t>
      </w:r>
      <w:r w:rsidR="00487A47">
        <w:t xml:space="preserve">til pasienter som skal videreføre behandling hjemme etter utskrivning. </w:t>
      </w:r>
      <w:r w:rsidR="00986FC4">
        <w:t xml:space="preserve">Dette prøves ut på </w:t>
      </w:r>
      <w:r w:rsidR="00F16A15">
        <w:t xml:space="preserve">Sykehuset Innlandet </w:t>
      </w:r>
      <w:r w:rsidR="00986FC4">
        <w:t>Lillehammer</w:t>
      </w:r>
      <w:r w:rsidR="009D3D48">
        <w:t xml:space="preserve"> og Sykehuset Innlandet Gjøvik</w:t>
      </w:r>
      <w:r w:rsidR="00986FC4">
        <w:t xml:space="preserve">. </w:t>
      </w:r>
      <w:r w:rsidR="00487A47">
        <w:t xml:space="preserve">Det har også vært </w:t>
      </w:r>
      <w:r w:rsidR="00986FC4">
        <w:t xml:space="preserve">tilbudt leveranse av ferdigfylte </w:t>
      </w:r>
      <w:r w:rsidR="00487A47">
        <w:t xml:space="preserve">sprøyter til intensiv </w:t>
      </w:r>
      <w:r w:rsidR="00986FC4">
        <w:t xml:space="preserve">som ble testet ut på </w:t>
      </w:r>
      <w:r w:rsidR="00F16A15">
        <w:t xml:space="preserve">Sykehuset Innlandet </w:t>
      </w:r>
      <w:r w:rsidR="00986FC4">
        <w:t xml:space="preserve">Lillehammer </w:t>
      </w:r>
      <w:r w:rsidR="00487A47">
        <w:t>i</w:t>
      </w:r>
      <w:r w:rsidR="00845F10">
        <w:t xml:space="preserve"> forbindelse med </w:t>
      </w:r>
      <w:r w:rsidR="00986FC4">
        <w:t>koronapandemien.</w:t>
      </w:r>
    </w:p>
    <w:p w:rsidR="004D03E7" w:rsidP="0014323A" w14:paraId="04C05E47" w14:textId="77777777">
      <w:pPr>
        <w:pStyle w:val="BodyText"/>
        <w:spacing w:before="0" w:after="0"/>
        <w:rPr>
          <w:b/>
        </w:rPr>
      </w:pPr>
    </w:p>
    <w:p w:rsidR="001F5B19" w:rsidRPr="009F03F0" w:rsidP="0014323A" w14:paraId="58138164" w14:textId="6F5AAD89">
      <w:pPr>
        <w:pStyle w:val="BodyText"/>
        <w:spacing w:before="0"/>
        <w:rPr>
          <w:b/>
          <w:u w:val="single"/>
        </w:rPr>
      </w:pPr>
      <w:r w:rsidRPr="009F03F0">
        <w:rPr>
          <w:b/>
        </w:rPr>
        <w:t>Arbeidsprosesser</w:t>
      </w:r>
    </w:p>
    <w:p w:rsidR="00AC4B55" w:rsidRPr="00B9497B" w:rsidP="009F03F0" w14:paraId="7F57B7CF" w14:textId="21AA4BDB">
      <w:pPr>
        <w:pStyle w:val="BodyText"/>
        <w:rPr>
          <w:b/>
        </w:rPr>
      </w:pPr>
      <w:r w:rsidRPr="00B9497B">
        <w:t xml:space="preserve">I dag er i hovedsak ikke pasientens </w:t>
      </w:r>
      <w:r w:rsidR="00986FC4">
        <w:t xml:space="preserve">perorale </w:t>
      </w:r>
      <w:r w:rsidRPr="00B9497B">
        <w:t>legemidler identifiserbare frem til utdeling, da tabletter overføres fra pakning til dosett</w:t>
      </w:r>
      <w:r w:rsidR="009D3D48">
        <w:t>/beger</w:t>
      </w:r>
      <w:r w:rsidRPr="00B9497B">
        <w:t xml:space="preserve"> i forkant av utdeling. Rutiner for dobbeltkontroll er variable og oppleves som tidkrevende. Alle kontroller som utføres er av manuell art. Det foreligger ingen elektronisk identifisering og man mangler entydig sporbarhet om hva pasienten faktisk har fått.  </w:t>
      </w:r>
    </w:p>
    <w:p w:rsidR="004323BE" w:rsidP="009F03F0" w14:paraId="63338246" w14:textId="77777777">
      <w:pPr>
        <w:pStyle w:val="BodyText"/>
        <w:rPr>
          <w:b/>
        </w:rPr>
      </w:pPr>
      <w:r>
        <w:t xml:space="preserve">Det </w:t>
      </w:r>
      <w:r w:rsidR="00AC4B55">
        <w:t xml:space="preserve">har </w:t>
      </w:r>
      <w:r>
        <w:t xml:space="preserve">i liten grad </w:t>
      </w:r>
      <w:r w:rsidR="00AC4B55">
        <w:t xml:space="preserve">vært </w:t>
      </w:r>
      <w:r>
        <w:t xml:space="preserve">fokusert på endring av arbeidsprosesser tilknyttet </w:t>
      </w:r>
      <w:r w:rsidR="00AC4B55">
        <w:t xml:space="preserve">innføring av </w:t>
      </w:r>
      <w:r>
        <w:t>endoser</w:t>
      </w:r>
      <w:r w:rsidRPr="00762FC5" w:rsidR="00CD563D">
        <w:t xml:space="preserve">, og det antas at </w:t>
      </w:r>
      <w:r w:rsidRPr="00762FC5">
        <w:t>potensialet</w:t>
      </w:r>
      <w:r>
        <w:t xml:space="preserve"> foreløpig </w:t>
      </w:r>
      <w:r w:rsidRPr="00762FC5" w:rsidR="00CD563D">
        <w:t>ikke utnyttes</w:t>
      </w:r>
      <w:r w:rsidR="00CD563D">
        <w:t>.</w:t>
      </w:r>
      <w:r>
        <w:t xml:space="preserve"> </w:t>
      </w:r>
    </w:p>
    <w:p w:rsidR="00AC4B55" w:rsidRPr="00B9497B" w:rsidP="0014323A" w14:paraId="4A199DDB" w14:textId="77777777">
      <w:pPr>
        <w:pStyle w:val="BodyText"/>
        <w:spacing w:after="0"/>
        <w:rPr>
          <w:b/>
        </w:rPr>
      </w:pPr>
      <w:r w:rsidRPr="00B9497B">
        <w:t>Nye medisintraller tilpasset endosebruk blir anskaffet i forbindelse med innføring av MetaVision i somatiske enheter i løpet av 2021</w:t>
      </w:r>
      <w:r w:rsidRPr="00B9497B" w:rsidR="001322E1">
        <w:t>, hvilket legger til</w:t>
      </w:r>
      <w:r w:rsidR="00986FC4">
        <w:t xml:space="preserve"> </w:t>
      </w:r>
      <w:r w:rsidRPr="00B9497B" w:rsidR="001322E1">
        <w:t>rette for endring av arbeidsprosesser</w:t>
      </w:r>
      <w:r w:rsidRPr="00B9497B">
        <w:t xml:space="preserve">. </w:t>
      </w:r>
    </w:p>
    <w:p w:rsidR="0014323A" w:rsidP="0014323A" w14:paraId="48560BE2" w14:textId="77777777">
      <w:pPr>
        <w:pStyle w:val="BodyText"/>
        <w:spacing w:before="0" w:after="0"/>
        <w:rPr>
          <w:b/>
        </w:rPr>
      </w:pPr>
    </w:p>
    <w:p w:rsidR="007C6B72" w:rsidRPr="009F03F0" w:rsidP="009F03F0" w14:paraId="53C9C003" w14:textId="3C98ADF3">
      <w:pPr>
        <w:pStyle w:val="BodyText"/>
        <w:rPr>
          <w:b/>
          <w:u w:val="single"/>
        </w:rPr>
      </w:pPr>
      <w:r w:rsidRPr="009F03F0">
        <w:rPr>
          <w:b/>
        </w:rPr>
        <w:t>Medisinrom</w:t>
      </w:r>
    </w:p>
    <w:p w:rsidR="00CD563D" w:rsidP="009F03F0" w14:paraId="7DD80AAD" w14:textId="3FE802A7">
      <w:pPr>
        <w:pStyle w:val="BodyText"/>
      </w:pPr>
      <w:r w:rsidRPr="00B9497B">
        <w:t>Størrelse på eksisterende medisinrom anses i dag som en utfordring</w:t>
      </w:r>
      <w:r w:rsidR="00A92DEA">
        <w:t xml:space="preserve"> </w:t>
      </w:r>
      <w:r w:rsidRPr="00B9497B">
        <w:t>da endoser er noe mer volumkrevende en ordinære pakninger. Dette må det iverksettes avbøtende tiltak for.</w:t>
      </w:r>
    </w:p>
    <w:p w:rsidR="00762FC5" w:rsidRPr="009F03F0" w:rsidP="009F03F0" w14:paraId="641E9C03" w14:textId="183E02EA">
      <w:pPr>
        <w:pStyle w:val="BodyText"/>
        <w:rPr>
          <w:b/>
        </w:rPr>
      </w:pPr>
      <w:r w:rsidRPr="009F03F0">
        <w:rPr>
          <w:b/>
        </w:rPr>
        <w:t>Elektronisk verifisering</w:t>
      </w:r>
    </w:p>
    <w:p w:rsidR="005875A1" w:rsidP="009F03F0" w14:paraId="05540106" w14:textId="65D3E9A5">
      <w:pPr>
        <w:pStyle w:val="BodyText"/>
        <w:rPr>
          <w:b/>
        </w:rPr>
      </w:pPr>
      <w:r>
        <w:t>Sykehuset Innlandet</w:t>
      </w:r>
      <w:r w:rsidRPr="005875A1" w:rsidR="00D00B6A">
        <w:t xml:space="preserve"> </w:t>
      </w:r>
      <w:r>
        <w:t xml:space="preserve">har </w:t>
      </w:r>
      <w:r w:rsidR="001F5B19">
        <w:t xml:space="preserve">innført </w:t>
      </w:r>
      <w:r>
        <w:t>elektronisk verifiserbare pa</w:t>
      </w:r>
      <w:r w:rsidRPr="005875A1" w:rsidR="00D00B6A">
        <w:t xml:space="preserve">sientarmbånd og </w:t>
      </w:r>
      <w:r w:rsidR="001F5B19">
        <w:t xml:space="preserve">tar i bruk </w:t>
      </w:r>
      <w:r w:rsidRPr="005875A1" w:rsidR="005361BE">
        <w:t>skanning av blodprodukter</w:t>
      </w:r>
      <w:r w:rsidR="001F5B19">
        <w:t xml:space="preserve"> i 2021</w:t>
      </w:r>
      <w:r w:rsidR="009D3D48">
        <w:t>/2022</w:t>
      </w:r>
      <w:r w:rsidRPr="005875A1" w:rsidR="005361BE">
        <w:t xml:space="preserve">. </w:t>
      </w:r>
    </w:p>
    <w:p w:rsidR="00272B3A" w:rsidP="009F03F0" w14:paraId="02B8062B" w14:textId="3D6CD68D">
      <w:pPr>
        <w:pStyle w:val="BodyText"/>
      </w:pPr>
      <w:r>
        <w:t>MetaV</w:t>
      </w:r>
      <w:r w:rsidR="001F5B19">
        <w:t>ision</w:t>
      </w:r>
      <w:r>
        <w:t xml:space="preserve"> 6.15 med forbedret funksjonalitet knyttet til elektronisk verifikasjon lanseres </w:t>
      </w:r>
      <w:r w:rsidR="00B05293">
        <w:t>2022</w:t>
      </w:r>
    </w:p>
    <w:p w:rsidR="00B05293" w:rsidRPr="005974B8" w:rsidP="009F03F0" w14:paraId="53FDDDB2" w14:textId="77777777">
      <w:pPr>
        <w:pStyle w:val="BodyText"/>
        <w:rPr>
          <w:b/>
          <w:color w:val="244061" w:themeColor="accent1" w:themeShade="80"/>
        </w:rPr>
      </w:pPr>
    </w:p>
    <w:p w:rsidR="00252CD0" w:rsidP="00252CD0" w14:paraId="23EA2B37" w14:textId="0304C294">
      <w:pPr>
        <w:pStyle w:val="Heading1"/>
        <w:numPr>
          <w:ilvl w:val="0"/>
          <w:numId w:val="20"/>
        </w:numPr>
      </w:pPr>
      <w:bookmarkStart w:id="16" w:name="_Toc85536850"/>
      <w:r>
        <w:t xml:space="preserve">Mål og plan for innføring av </w:t>
      </w:r>
      <w:r w:rsidRPr="004311BF" w:rsidR="00762FC5">
        <w:t>lukket legemiddelsløyfe</w:t>
      </w:r>
      <w:bookmarkEnd w:id="16"/>
      <w:r>
        <w:t xml:space="preserve"> </w:t>
      </w:r>
    </w:p>
    <w:p w:rsidR="00252CD0" w:rsidP="00252CD0" w14:paraId="36ED61C3" w14:textId="77777777">
      <w:pPr>
        <w:pStyle w:val="BodyText"/>
      </w:pPr>
      <w:r>
        <w:t>I</w:t>
      </w:r>
      <w:r w:rsidRPr="00B65111">
        <w:t xml:space="preserve">nnføring av lukket legemiddelsløyfe i </w:t>
      </w:r>
      <w:r>
        <w:t>Helse Sør-Øst RHF</w:t>
      </w:r>
      <w:r w:rsidRPr="00B65111">
        <w:t xml:space="preserve"> </w:t>
      </w:r>
      <w:r>
        <w:t xml:space="preserve">vil foregå trinnvis </w:t>
      </w:r>
      <w:r w:rsidRPr="00B65111">
        <w:t>frem mot 2030</w:t>
      </w:r>
      <w:r w:rsidRPr="006F1710">
        <w:t xml:space="preserve">, se «Pasientsikkerhetstrappen» (figur </w:t>
      </w:r>
      <w:r>
        <w:t>5</w:t>
      </w:r>
      <w:r w:rsidRPr="006F1710">
        <w:t>).</w:t>
      </w:r>
      <w:r>
        <w:t xml:space="preserve"> </w:t>
      </w:r>
      <w:r w:rsidRPr="006F1710">
        <w:t>Dette er trinn</w:t>
      </w:r>
      <w:r>
        <w:t>ene</w:t>
      </w:r>
      <w:r w:rsidRPr="006F1710">
        <w:t xml:space="preserve"> frem til sykehusene når en optimal løsning i form av pasientspesifikk legemiddelleveranse og med mulighet for elektronisk verifikasjon av delmengder av legemidler.</w:t>
      </w:r>
      <w:r>
        <w:t xml:space="preserve"> Hovedfokuset i det regionale prosjektet vil i første omgang være på trinn 1-3 i pasientsikkerhetstrappen frem mot 2025, samtidig som det vil foregå pilotering på trinn 4. Endelig beslutning om trinn 4 tas i 2024. </w:t>
      </w:r>
      <w:r w:rsidRPr="00EC6C2B">
        <w:t xml:space="preserve">Trinn 5 i pasientsikkerhetstrappen med elektronisk kontroll av delmengde, vil </w:t>
      </w:r>
      <w:r>
        <w:t xml:space="preserve">først </w:t>
      </w:r>
      <w:r w:rsidRPr="00EC6C2B">
        <w:t xml:space="preserve">være mulig på et senere tidspunkt, </w:t>
      </w:r>
      <w:r>
        <w:t>og</w:t>
      </w:r>
      <w:r w:rsidRPr="00EC6C2B">
        <w:t xml:space="preserve"> er ikke styrende for innføring av lukket legemiddelsløyfe. </w:t>
      </w:r>
    </w:p>
    <w:p w:rsidR="00B63A63" w:rsidP="00252CD0" w14:paraId="60427261" w14:textId="77777777">
      <w:pPr>
        <w:pStyle w:val="Heading1"/>
        <w:ind w:left="256" w:firstLine="0"/>
        <w:rPr>
          <w:rFonts w:asciiTheme="minorHAnsi" w:hAnsiTheme="minorHAnsi"/>
          <w:noProof/>
          <w:sz w:val="22"/>
          <w:lang w:eastAsia="nb-NO"/>
        </w:rPr>
      </w:pPr>
    </w:p>
    <w:p w:rsidR="00B63A63" w:rsidP="00B63A63" w14:paraId="500A3539" w14:textId="78A5A236">
      <w:pPr>
        <w:pStyle w:val="BodyText"/>
        <w:rPr>
          <w:rFonts w:asciiTheme="minorHAnsi" w:hAnsiTheme="minorHAnsi"/>
          <w:sz w:val="20"/>
          <w:szCs w:val="20"/>
        </w:rPr>
      </w:pPr>
      <w:r w:rsidRPr="00AB7610">
        <w:rPr>
          <w:rFonts w:asciiTheme="minorHAnsi" w:hAnsiTheme="minorHAnsi"/>
          <w:noProof/>
          <w:sz w:val="22"/>
          <w:lang w:eastAsia="nb-NO"/>
        </w:rPr>
        <w:drawing>
          <wp:inline distT="0" distB="0" distL="0" distR="0">
            <wp:extent cx="6240872" cy="3169920"/>
            <wp:effectExtent l="0" t="0" r="762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5"/>
                    <a:srcRect b="4312"/>
                    <a:stretch>
                      <a:fillRect/>
                    </a:stretch>
                  </pic:blipFill>
                  <pic:spPr bwMode="auto">
                    <a:xfrm>
                      <a:off x="0" y="0"/>
                      <a:ext cx="6288001" cy="319385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B63A63">
        <w:rPr>
          <w:rFonts w:asciiTheme="minorHAnsi" w:hAnsiTheme="minorHAnsi"/>
          <w:sz w:val="20"/>
          <w:szCs w:val="20"/>
        </w:rPr>
        <w:t xml:space="preserve"> </w:t>
      </w:r>
      <w:r w:rsidRPr="00AB7610">
        <w:rPr>
          <w:rFonts w:asciiTheme="minorHAnsi" w:hAnsiTheme="minorHAnsi"/>
          <w:sz w:val="20"/>
          <w:szCs w:val="20"/>
        </w:rPr>
        <w:t xml:space="preserve">Figur </w:t>
      </w:r>
      <w:r>
        <w:rPr>
          <w:rFonts w:asciiTheme="minorHAnsi" w:hAnsiTheme="minorHAnsi"/>
          <w:sz w:val="20"/>
          <w:szCs w:val="20"/>
        </w:rPr>
        <w:t>5</w:t>
      </w:r>
      <w:r w:rsidRPr="00AB7610">
        <w:rPr>
          <w:rFonts w:asciiTheme="minorHAnsi" w:hAnsiTheme="minorHAnsi"/>
          <w:sz w:val="20"/>
          <w:szCs w:val="20"/>
        </w:rPr>
        <w:t xml:space="preserve">. Pasientsikkerhetstrappen illustrerer forventet effekt på pasientsikkerhet samt krav til omstilling og investeringer. </w:t>
      </w:r>
    </w:p>
    <w:p w:rsidR="00B63A63" w:rsidP="00B63A63" w14:paraId="32A8A82B" w14:textId="77777777">
      <w:pPr>
        <w:pStyle w:val="BodyText"/>
      </w:pPr>
    </w:p>
    <w:p w:rsidR="00B63A63" w:rsidP="00B63A63" w14:paraId="0B485902" w14:textId="77777777">
      <w:pPr>
        <w:pStyle w:val="BodyText"/>
      </w:pPr>
      <w:r w:rsidRPr="002220C9">
        <w:t xml:space="preserve">Sykehuset Innlandet har som mål å gradvis innføre lukket legemiddelsløyfe i tråd med føringer fra Helse Sør Øst. Først med fokus på å etablere høy dekningsgrad av elektronisk verifiserbare endoser med påfølgende endringer av arbeidsprosesser og skanningkontroll frem mot 2025. </w:t>
      </w:r>
    </w:p>
    <w:p w:rsidR="00B63A63" w:rsidP="00B63A63" w14:paraId="718B5DF7" w14:textId="52FF2C83">
      <w:pPr>
        <w:pStyle w:val="BodyText"/>
      </w:pPr>
      <w:r w:rsidRPr="006F1710">
        <w:t>Ny sykehusstruktur i Sykehuset Innlandet tilsier at det vil være uhensiktsmessig å innføre lukket legemiddelsløyfe i sin helhet i foretaket, før ny sykehusstruktur er etablert. Dette med bakgrunn i utstyr, bygningsmasse, kostnader og investeringer.</w:t>
      </w:r>
      <w:r>
        <w:t xml:space="preserve"> </w:t>
      </w:r>
    </w:p>
    <w:p w:rsidR="00FD2D3B" w:rsidP="00B63A63" w14:paraId="225B7123" w14:textId="16F95161">
      <w:pPr>
        <w:pStyle w:val="BodyText"/>
      </w:pPr>
    </w:p>
    <w:p w:rsidR="00FD2D3B" w:rsidP="00B63A63" w14:paraId="75B3B4A7" w14:textId="77777777">
      <w:pPr>
        <w:pStyle w:val="BodyText"/>
      </w:pPr>
    </w:p>
    <w:p w:rsidR="00B63A63" w:rsidRPr="00782743" w:rsidP="00B63A63" w14:paraId="0AA0CE6F" w14:textId="77777777">
      <w:pPr>
        <w:pStyle w:val="BodyText"/>
      </w:pPr>
      <w:r>
        <w:t xml:space="preserve">Planen er derfor inndelt i to </w:t>
      </w:r>
      <w:r w:rsidRPr="00782743">
        <w:t xml:space="preserve">forløp for </w:t>
      </w:r>
      <w:r>
        <w:t>lukket legemiddelsløyfe</w:t>
      </w:r>
      <w:r w:rsidRPr="00782743">
        <w:t xml:space="preserve"> i Sykehuset Innlandet: </w:t>
      </w:r>
    </w:p>
    <w:p w:rsidR="00B63A63" w:rsidRPr="00782743" w:rsidP="00B63A63" w14:paraId="561C3BFC" w14:textId="77777777">
      <w:pPr>
        <w:pStyle w:val="BodyText"/>
        <w:numPr>
          <w:ilvl w:val="0"/>
          <w:numId w:val="22"/>
        </w:numPr>
      </w:pPr>
      <w:r w:rsidRPr="00782743">
        <w:t>Forløp 1 inkluderer innføring av LLS med perorale og parenterale endoser</w:t>
      </w:r>
      <w:r>
        <w:t>,</w:t>
      </w:r>
      <w:r w:rsidRPr="00782743">
        <w:t xml:space="preserve"> </w:t>
      </w:r>
      <w:r>
        <w:t xml:space="preserve">bruksklare parenterale legemidler, </w:t>
      </w:r>
      <w:r w:rsidRPr="00782743">
        <w:t xml:space="preserve">samt skanningskontroll av endoser </w:t>
      </w:r>
      <w:r>
        <w:t>(trinn 1,2 og 3 i pasientsikkerhetstrappen).</w:t>
      </w:r>
    </w:p>
    <w:p w:rsidR="00B63A63" w:rsidRPr="00B63A63" w:rsidP="00B63A63" w14:paraId="14360D37" w14:textId="63FA9587">
      <w:pPr>
        <w:pStyle w:val="BodyText"/>
        <w:numPr>
          <w:ilvl w:val="0"/>
          <w:numId w:val="22"/>
        </w:numPr>
        <w:spacing w:after="0"/>
        <w:rPr>
          <w:b/>
        </w:rPr>
      </w:pPr>
      <w:r w:rsidRPr="00782743">
        <w:t xml:space="preserve">Forløp 2 inkluderer </w:t>
      </w:r>
      <w:r>
        <w:t xml:space="preserve">innføring av </w:t>
      </w:r>
      <w:r w:rsidRPr="00782743">
        <w:t xml:space="preserve">LLS med </w:t>
      </w:r>
      <w:r>
        <w:t xml:space="preserve">pasientspesifikke </w:t>
      </w:r>
      <w:r w:rsidRPr="00782743">
        <w:t>endoser på aktuelle poster</w:t>
      </w:r>
      <w:r>
        <w:t xml:space="preserve"> i ny sykehusstruktur</w:t>
      </w:r>
      <w:r w:rsidRPr="00782743">
        <w:t xml:space="preserve"> </w:t>
      </w:r>
      <w:r w:rsidRPr="004311BF">
        <w:t xml:space="preserve">(trinn 4 i </w:t>
      </w:r>
      <w:r>
        <w:t>pasientsikkerhetstrappen)</w:t>
      </w:r>
      <w:r w:rsidRPr="00607226">
        <w:rPr>
          <w:color w:val="FF0000"/>
        </w:rPr>
        <w:t xml:space="preserve"> </w:t>
      </w:r>
    </w:p>
    <w:p w:rsidR="00B63A63" w:rsidP="00B63A63" w14:paraId="1F475667" w14:textId="77777777">
      <w:pPr>
        <w:pStyle w:val="BodyText"/>
        <w:ind w:left="720"/>
        <w:rPr>
          <w:b/>
        </w:rPr>
      </w:pPr>
    </w:p>
    <w:p w:rsidR="00FD2D3B" w:rsidRPr="00FD2D3B" w:rsidP="00704230" w14:paraId="7180F2C3" w14:textId="1C5BBF14">
      <w:pPr>
        <w:pStyle w:val="Heading2"/>
        <w:numPr>
          <w:ilvl w:val="1"/>
          <w:numId w:val="20"/>
        </w:numPr>
      </w:pPr>
      <w:r>
        <w:t xml:space="preserve"> </w:t>
      </w:r>
      <w:bookmarkStart w:id="17" w:name="_Toc85536851"/>
      <w:r w:rsidRPr="00252CD0" w:rsidR="00252CD0">
        <w:t>Forløp 1</w:t>
      </w:r>
      <w:bookmarkEnd w:id="17"/>
      <w:r w:rsidR="000E56D1">
        <w:tab/>
      </w:r>
    </w:p>
    <w:p w:rsidR="00FD2D3B" w:rsidP="00FD2D3B" w14:paraId="115B9EC6" w14:textId="77777777">
      <w:pPr>
        <w:pStyle w:val="BodyText"/>
      </w:pPr>
      <w:r>
        <w:t>Sykehuset vil gradvis øke bruk av elektronisk verifiserbare perorale endoser fra 10 % i 2020 til 80 % i 2024, med tilhørende endringer i arbeidsprosesser og implementering av skanningskontroll.</w:t>
      </w:r>
    </w:p>
    <w:p w:rsidR="00FD2D3B" w:rsidP="00FD2D3B" w14:paraId="02E6BC58" w14:textId="77777777">
      <w:pPr>
        <w:pStyle w:val="BodyText"/>
        <w:spacing w:before="0" w:after="0"/>
        <w:rPr>
          <w:b/>
        </w:rPr>
      </w:pPr>
      <w:r>
        <w:t xml:space="preserve">Elektronisk verifiserbare parenterale endoser og bruksklare parenterale legemidler vurderes fortløpende når disse blir tilgjengelig. Økt bruk av sykehusapotekfremstilte bruksklare løsninger vurderes i samarbeid med Sykehusapotekene. </w:t>
      </w:r>
    </w:p>
    <w:p w:rsidR="00FD2D3B" w:rsidP="00FD2D3B" w14:paraId="68D42819" w14:textId="77777777">
      <w:pPr>
        <w:pStyle w:val="BodyText"/>
        <w:spacing w:before="0"/>
        <w:ind w:left="616"/>
        <w:rPr>
          <w:b/>
          <w:color w:val="0F243E" w:themeColor="text2" w:themeShade="80"/>
        </w:rPr>
      </w:pPr>
    </w:p>
    <w:p w:rsidR="00FD2D3B" w:rsidRPr="00037C07" w:rsidP="00FD2D3B" w14:paraId="2E1346C3" w14:textId="77777777">
      <w:pPr>
        <w:pStyle w:val="BodyText"/>
        <w:rPr>
          <w:b/>
          <w:color w:val="0F243E" w:themeColor="text2" w:themeShade="80"/>
        </w:rPr>
      </w:pPr>
      <w:r w:rsidRPr="00037C07">
        <w:rPr>
          <w:b/>
          <w:color w:val="0F243E" w:themeColor="text2" w:themeShade="80"/>
        </w:rPr>
        <w:t xml:space="preserve">Plan for økt bruk av </w:t>
      </w:r>
      <w:r>
        <w:rPr>
          <w:b/>
          <w:color w:val="0F243E" w:themeColor="text2" w:themeShade="80"/>
        </w:rPr>
        <w:t xml:space="preserve">elektronisk verifiserbare </w:t>
      </w:r>
      <w:r w:rsidRPr="00037C07">
        <w:rPr>
          <w:b/>
          <w:color w:val="0F243E" w:themeColor="text2" w:themeShade="80"/>
        </w:rPr>
        <w:t>perorale endoser</w:t>
      </w:r>
    </w:p>
    <w:p w:rsidR="00FD2D3B" w:rsidRPr="00642992" w:rsidP="00FD2D3B" w14:paraId="348E851A" w14:textId="77777777">
      <w:pPr>
        <w:pStyle w:val="BodyText"/>
      </w:pPr>
      <w:r w:rsidRPr="00642992">
        <w:t xml:space="preserve">Utrulling av </w:t>
      </w:r>
      <w:r>
        <w:t xml:space="preserve">perorale </w:t>
      </w:r>
      <w:r w:rsidRPr="00642992">
        <w:t xml:space="preserve">endoser i hele Sykehuset Innlandet vil være en tidkrevende prosess som det er viktig å komme i gang med slik at arbeidsprosesser </w:t>
      </w:r>
      <w:r>
        <w:t>gradvis kan endres frem mot oppstart med skanning og lukking av legemiddelsløyfen</w:t>
      </w:r>
      <w:r w:rsidRPr="00642992">
        <w:t xml:space="preserve">. Innføring av </w:t>
      </w:r>
      <w:r>
        <w:t xml:space="preserve">perorale </w:t>
      </w:r>
      <w:r w:rsidRPr="00642992">
        <w:t xml:space="preserve">endoser vil </w:t>
      </w:r>
      <w:r>
        <w:t xml:space="preserve">gi en tryggere legemiddeladministrering når legemidlet </w:t>
      </w:r>
      <w:r w:rsidRPr="00642992">
        <w:t>identifiser</w:t>
      </w:r>
      <w:r>
        <w:t>es</w:t>
      </w:r>
      <w:r w:rsidRPr="00642992">
        <w:t xml:space="preserve"> helt frem til pasient</w:t>
      </w:r>
      <w:r>
        <w:t xml:space="preserve"> og </w:t>
      </w:r>
      <w:r w:rsidRPr="00642992">
        <w:t>bidra til forenkling av arbeidsprosesser</w:t>
      </w:r>
      <w:r>
        <w:t xml:space="preserve"> herunder dobbeltkontrollrutiner</w:t>
      </w:r>
      <w:r w:rsidRPr="00642992">
        <w:t>.</w:t>
      </w:r>
    </w:p>
    <w:p w:rsidR="00FD2D3B" w:rsidP="00FD2D3B" w14:paraId="5A94FD40" w14:textId="77777777">
      <w:pPr>
        <w:pStyle w:val="BodyText"/>
      </w:pPr>
      <w:r w:rsidRPr="00C91B8D">
        <w:t xml:space="preserve">Utrullingen må foregå trinnvis </w:t>
      </w:r>
      <w:r>
        <w:t xml:space="preserve">både med tanke på utnyttelse av eksisterende lagre i avdelingene og sykehusapotekene, samt </w:t>
      </w:r>
      <w:r w:rsidRPr="00C91B8D">
        <w:t>kapasitet til å følge opp endringen med sortimentsendringer, oppdatering av basislister og oppbygging av lagre</w:t>
      </w:r>
      <w:r>
        <w:t>.</w:t>
      </w:r>
    </w:p>
    <w:p w:rsidR="00FD2D3B" w:rsidP="00FD2D3B" w14:paraId="20C4730B" w14:textId="77777777">
      <w:pPr>
        <w:pStyle w:val="BodyText"/>
      </w:pPr>
      <w:r w:rsidRPr="00C91B8D">
        <w:t xml:space="preserve">Alle divisjoner </w:t>
      </w:r>
      <w:r>
        <w:t xml:space="preserve">må </w:t>
      </w:r>
      <w:r w:rsidRPr="00C91B8D">
        <w:t>lage en utrullingsplan i samarbeid med lokalt sykehusapotek.</w:t>
      </w:r>
      <w:r>
        <w:t xml:space="preserve"> Utrulling på ulike lokasjoner gjøres parallelt. Sengeposter </w:t>
      </w:r>
      <w:r w:rsidRPr="00C91B8D">
        <w:t>med stort endosepotensial og tilstrekkelig plass i eksisterende medisinrom prioriteres først.</w:t>
      </w:r>
      <w:r>
        <w:t xml:space="preserve"> </w:t>
      </w:r>
      <w:r w:rsidRPr="007E2512">
        <w:t>Enheter som allerede er i gang med utrulling prioriteres før oppstart med nye enhe</w:t>
      </w:r>
      <w:r>
        <w:t xml:space="preserve">ter ved samme lokasjon. Jo høyere andel </w:t>
      </w:r>
      <w:r w:rsidRPr="007E2512">
        <w:t>endose</w:t>
      </w:r>
      <w:r>
        <w:t xml:space="preserve">r i en enhet jo større muligheter for få gevinster i form av endrede </w:t>
      </w:r>
      <w:r w:rsidRPr="007E2512">
        <w:t xml:space="preserve">arbeidsprosesser. </w:t>
      </w:r>
      <w:r>
        <w:t xml:space="preserve">Deretter prioriteres andre enheter med utgangspunkt i endosepotensial og plass. Poliklinikker vurderes ut fra type virksomhet og type preparater. Mulighet for forenkling av arbeidsprosesser og økt pasientsikkerhet legges til grunn for vurderingen. F.eks enheter som sender med pasientene legemidler bør prioritere å endre disse til endoser. Enheter med dårlig plass må vurderes nøye med tanke på muligheter for å rasjonalisere sortiment. Nødvendige utbedringer må kartlegges og prioriteres i lys av gevinstpotensial for aktuell enhet. </w:t>
      </w:r>
    </w:p>
    <w:p w:rsidR="00FD2D3B" w:rsidP="00FD2D3B" w14:paraId="2B7E2AF7" w14:textId="77777777">
      <w:pPr>
        <w:pStyle w:val="BodyText"/>
      </w:pPr>
      <w:r>
        <w:t>U</w:t>
      </w:r>
      <w:r w:rsidRPr="00D11AA1">
        <w:t xml:space="preserve">trullingsperioden på den enkelte avdeling vil ta </w:t>
      </w:r>
      <w:r>
        <w:t xml:space="preserve">flere </w:t>
      </w:r>
      <w:r w:rsidRPr="00D11AA1">
        <w:t xml:space="preserve">måneder avhengig av hvor stort lageret </w:t>
      </w:r>
      <w:r>
        <w:t xml:space="preserve">er i utgangspunktet. </w:t>
      </w:r>
      <w:r w:rsidRPr="00D11AA1">
        <w:t xml:space="preserve">Preparatene skiftes ut etter hvert som de er brukt opp eller har utløpt holdbarhet for å unngå unødvendig kassasjon. </w:t>
      </w:r>
      <w:r>
        <w:t xml:space="preserve">Skannbare SA endoser velges der det er mulig. Maksimalbeholdning for lavfrekvente varer reduseres med SA endoser som kommer i mindre forpakninger, ved eventuelle holdbarhetsutfordringer kan tilgjengelige industriendoser med lengre holdbarhet benyttes. Alternativt avventes oppstart med endoser på enkeltpreparater for å begrense </w:t>
      </w:r>
      <w:r w:rsidRPr="007E2512">
        <w:t>kassasjon.</w:t>
      </w:r>
      <w:r>
        <w:t xml:space="preserve"> For narkotika som telles regelmessig kan industriendose benyttes fremfor SA endoser om dette er tilgjengelig og i tråd med innkjøpsavtaler. </w:t>
      </w:r>
      <w:r w:rsidRPr="00D11AA1">
        <w:t xml:space="preserve">Utrulling kan pågå på flere enheter ved samme lokasjon </w:t>
      </w:r>
      <w:r>
        <w:t>samtidig, men med forskjøvet oppstartstidspunkt</w:t>
      </w:r>
      <w:r w:rsidRPr="00D11AA1">
        <w:t xml:space="preserve">. </w:t>
      </w:r>
      <w:r>
        <w:t>Fokuset bør være på å ta i bruk SA endoser for de produktene man ikke har endoser fra før. Konvertering fra industriendoser som allerede befinner seg i lageret til SA endoser kan gjøres etter hvert. Det er det totale omfanget av endoser som er vesentlig for å kunne endre arbeidsprosesser og forenkle dobbeltkontrollrutiner inntil integrasjon for skanning innføres. Når skanning innføres må alle endoser konverteres til elektronisk verifiserbare endoser</w:t>
      </w:r>
    </w:p>
    <w:p w:rsidR="00FD2D3B" w:rsidP="00FD2D3B" w14:paraId="22430186" w14:textId="77777777">
      <w:pPr>
        <w:pStyle w:val="BodyText"/>
      </w:pPr>
      <w:r w:rsidRPr="00D11AA1">
        <w:t xml:space="preserve">Sykehusapotekene vil av kapasitetshensyn </w:t>
      </w:r>
      <w:r>
        <w:t xml:space="preserve">etter hvert </w:t>
      </w:r>
      <w:r w:rsidRPr="00D11AA1">
        <w:t xml:space="preserve">måtte fase </w:t>
      </w:r>
      <w:r>
        <w:t xml:space="preserve">helt </w:t>
      </w:r>
      <w:r w:rsidRPr="00D11AA1">
        <w:t xml:space="preserve">ut gamle pakninger </w:t>
      </w:r>
      <w:r>
        <w:t xml:space="preserve">til fordel for endosepakninger i sitt lager. Dette medfører at </w:t>
      </w:r>
      <w:r w:rsidRPr="00D11AA1">
        <w:t xml:space="preserve">enheter som ikke har valgt endoser også gradvis vil </w:t>
      </w:r>
      <w:r>
        <w:t xml:space="preserve">kunne </w:t>
      </w:r>
      <w:r w:rsidRPr="00D11AA1">
        <w:t>få levert endoser</w:t>
      </w:r>
      <w:r>
        <w:t xml:space="preserve"> av enkelte preparater og gradvis bidra til økt andel endoser</w:t>
      </w:r>
      <w:r w:rsidRPr="00D11AA1">
        <w:t xml:space="preserve">. </w:t>
      </w:r>
      <w:r>
        <w:t xml:space="preserve">Ved bestillinger til enkeltpasienter etterstrebes bruk av endoser når apoteket har aktuell endose i sortimentet slik at disse kan legges rett i pasientskuff ved mottak på avdeling. </w:t>
      </w:r>
    </w:p>
    <w:p w:rsidR="00FD2D3B" w:rsidP="00FD2D3B" w14:paraId="7F9E4991" w14:textId="77777777">
      <w:pPr>
        <w:pStyle w:val="BodyText"/>
      </w:pPr>
      <w:r>
        <w:t xml:space="preserve">Ved Sykehuset Innlandet Lillehammer, Sykehuset Innlandet Elverum og Sykehuset Innlandet Hamar er potensialet for utvidelse størst på enheter som allerede er i gang med konvertering til endoser. For Sykehuset Innlandet Gjøvik og Divisjon Psykisk helsevern vil første milepæl være å starte opp med 2-3 enheter og i løpet av 2022 komme opp på et nivå tilsvarende enhetene i de andre divisjonen før videre utrulling til flere enheter. </w:t>
      </w:r>
    </w:p>
    <w:p w:rsidR="00FD2D3B" w:rsidP="00FD2D3B" w14:paraId="76794259" w14:textId="2E5FCCA6">
      <w:pPr>
        <w:pStyle w:val="BodyText"/>
      </w:pPr>
      <w:r>
        <w:t xml:space="preserve">Den totale utviklingen i dekningsgrad for SA endoser i Sykehuset Innlandet og tilhørende mål er vist i figur nr 6. Denne viser kun SA-endoser. Eksisterende nivå på 17 % industriendoser vil komme i tillegg. Disse konverteres etter hvert til SA endoser, hvis de ikke gjøres elektronisk verifiserbare av industrien. </w:t>
      </w:r>
    </w:p>
    <w:p w:rsidR="00FD2D3B" w:rsidP="00FD2D3B" w14:paraId="2C3ACBCE" w14:textId="77777777">
      <w:pPr>
        <w:pStyle w:val="BodyText"/>
      </w:pPr>
    </w:p>
    <w:p w:rsidR="00FD2D3B" w:rsidP="00FD2D3B" w14:paraId="24F34825" w14:textId="29654FE2">
      <w:pPr>
        <w:pStyle w:val="BodyText"/>
        <w:rPr>
          <w:b/>
        </w:rPr>
      </w:pPr>
      <w:r w:rsidRPr="000D0DB6">
        <w:rPr>
          <w:b/>
          <w:noProof/>
          <w:lang w:eastAsia="nb-NO"/>
        </w:rPr>
        <w:drawing>
          <wp:inline distT="0" distB="0" distL="0" distR="0">
            <wp:extent cx="6316980" cy="3846168"/>
            <wp:effectExtent l="0" t="0" r="7620" b="254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6"/>
                    <a:stretch>
                      <a:fillRect/>
                    </a:stretch>
                  </pic:blipFill>
                  <pic:spPr>
                    <a:xfrm>
                      <a:off x="0" y="0"/>
                      <a:ext cx="6381762" cy="3885611"/>
                    </a:xfrm>
                    <a:prstGeom prst="rect">
                      <a:avLst/>
                    </a:prstGeom>
                  </pic:spPr>
                </pic:pic>
              </a:graphicData>
            </a:graphic>
          </wp:inline>
        </w:drawing>
      </w:r>
    </w:p>
    <w:p w:rsidR="00FD2D3B" w:rsidRPr="00FD2D3B" w:rsidP="00FD2D3B" w14:paraId="7FBF798E" w14:textId="118B268E">
      <w:pPr>
        <w:pStyle w:val="BodyText"/>
        <w:rPr>
          <w:b/>
          <w:color w:val="FF0000"/>
        </w:rPr>
      </w:pPr>
      <w:r w:rsidRPr="00FD2D3B">
        <w:rPr>
          <w:rFonts w:ascii="Calibri" w:hAnsi="Calibri"/>
          <w:sz w:val="20"/>
          <w:szCs w:val="20"/>
        </w:rPr>
        <w:t>Figur 6.</w:t>
      </w:r>
      <w:r w:rsidRPr="00FD2D3B">
        <w:rPr>
          <w:rFonts w:ascii="Calibri" w:hAnsi="Calibri"/>
          <w:b/>
          <w:sz w:val="20"/>
          <w:szCs w:val="20"/>
        </w:rPr>
        <w:t xml:space="preserve"> </w:t>
      </w:r>
      <w:r w:rsidRPr="00FD2D3B">
        <w:rPr>
          <w:rFonts w:ascii="Calibri" w:hAnsi="Calibri"/>
          <w:sz w:val="20"/>
          <w:szCs w:val="20"/>
        </w:rPr>
        <w:t>Dekningsgrad i Sykehuset Innlandet. Andel elektronisk verifiserbare perorale endoser (SA endoser) i forhold til bruk av perorale enheter totalt.</w:t>
      </w:r>
    </w:p>
    <w:p w:rsidR="00FD2D3B" w:rsidP="00FD2D3B" w14:paraId="6FA72974" w14:textId="77777777">
      <w:pPr>
        <w:pStyle w:val="BodyText"/>
        <w:ind w:left="616"/>
        <w:rPr>
          <w:rFonts w:ascii="Calibri" w:hAnsi="Calibri"/>
          <w:sz w:val="20"/>
          <w:szCs w:val="20"/>
        </w:rPr>
      </w:pPr>
    </w:p>
    <w:p w:rsidR="00FD2D3B" w:rsidP="00FD2D3B" w14:paraId="7AEE447E" w14:textId="66EB48F7">
      <w:pPr>
        <w:pStyle w:val="BodyText"/>
        <w:ind w:left="616"/>
      </w:pPr>
    </w:p>
    <w:p w:rsidR="000E56D1" w:rsidP="00FD2D3B" w14:paraId="6B5B1FB8" w14:textId="77777777">
      <w:pPr>
        <w:pStyle w:val="BodyText"/>
        <w:ind w:left="616"/>
      </w:pPr>
    </w:p>
    <w:p w:rsidR="00FD2D3B" w:rsidP="00E80315" w14:paraId="21C691A2" w14:textId="77777777">
      <w:pPr>
        <w:pStyle w:val="BodyText"/>
        <w:spacing w:before="0"/>
        <w:rPr>
          <w:b/>
        </w:rPr>
      </w:pPr>
      <w:r>
        <w:rPr>
          <w:b/>
        </w:rPr>
        <w:t xml:space="preserve">Plan for bruk av elektronisk verifiserbare parenterale endoser </w:t>
      </w:r>
    </w:p>
    <w:p w:rsidR="00FD2D3B" w:rsidP="00FD2D3B" w14:paraId="59CDB111" w14:textId="77777777">
      <w:pPr>
        <w:pStyle w:val="BodyText"/>
      </w:pPr>
      <w:r>
        <w:t xml:space="preserve">Mange av injeksjonspreparatene som benyttes foreligger i form av ampuller og hetteglass og kan identifiseres helt frem til utblanding. Utfordringen er mangel på strekkode på enhetsnivå. Dette jobbes det med på regionalt nivå opp mot legemiddelprodusentene for å få på plass. For øvrig forutsetter lukking av legemiddelsløyfen for parenterale legemidler på løsninger i MetaVision som kan skille på strekkoder på enhetsnivå og pakningsnivå, samt løsninger for å identifisere istandgjort legemiddel i sprøyte ved administrering. Fremdrift i regionalt prosjekt og piloteringer vil være førende for vår fremdrift på dette området. </w:t>
      </w:r>
    </w:p>
    <w:p w:rsidR="00FD2D3B" w:rsidP="00FD2D3B" w14:paraId="430EC260" w14:textId="77777777">
      <w:pPr>
        <w:pStyle w:val="BodyText"/>
        <w:spacing w:before="0" w:after="0"/>
        <w:rPr>
          <w:b/>
        </w:rPr>
      </w:pPr>
      <w:r>
        <w:t>Sykehuset Innlandet inkluderer elektronisk verifiserbare parenterale endoser fortløpende når disse blir tilgjengelig og funksjonalitet for elektronisk verifisering er klar for utrulling.</w:t>
      </w:r>
    </w:p>
    <w:p w:rsidR="00FD2D3B" w:rsidP="00E80315" w14:paraId="2843B79D" w14:textId="77777777">
      <w:pPr>
        <w:pStyle w:val="BodyText"/>
        <w:spacing w:before="0" w:after="0"/>
        <w:rPr>
          <w:b/>
        </w:rPr>
      </w:pPr>
    </w:p>
    <w:p w:rsidR="00FD2D3B" w:rsidP="00FD2D3B" w14:paraId="48E7DA9A" w14:textId="77777777">
      <w:pPr>
        <w:pStyle w:val="BodyText"/>
        <w:rPr>
          <w:b/>
        </w:rPr>
      </w:pPr>
      <w:r>
        <w:rPr>
          <w:b/>
        </w:rPr>
        <w:t>Plan for økt bruk av bruksferdige parenterale løsninger</w:t>
      </w:r>
    </w:p>
    <w:p w:rsidR="00FD2D3B" w:rsidP="00E80315" w14:paraId="01BA1440" w14:textId="77777777">
      <w:pPr>
        <w:pStyle w:val="BodyText"/>
      </w:pPr>
      <w:r>
        <w:t xml:space="preserve">Økt bruk av bruksferdige parenterale løsninger er todelt. Dette inkluderer industrifremstilte bruksferdige parenterale løsninger og sykehusapotekfremstilte bruksklare løsninger. </w:t>
      </w:r>
    </w:p>
    <w:p w:rsidR="00FD2D3B" w:rsidP="00E80315" w14:paraId="5AA7879B" w14:textId="77777777">
      <w:pPr>
        <w:pStyle w:val="BodyText"/>
      </w:pPr>
      <w:r>
        <w:t>Muligheter for industrifremstilte bruksferdige løsninger kartlegges og vurderes inkludert fortløpende der dette er hensiktsmessig ut fra pris og holdbarhetsperspektiv.  Det at det vil være tidsbesparende for sykepleierne å ta i bruk slike løsninger også før de blir elektronisk verifiserbare, tas med i vurderingen. Det vil også være kvalitetshevende å bruke preparater som kommer ferdig fra industri og ikke trenger tilberedning på post. Man ser for seg et gradvis økende tilbud av denne type preparater.</w:t>
      </w:r>
    </w:p>
    <w:p w:rsidR="00FD2D3B" w:rsidP="00E80315" w14:paraId="680A3387" w14:textId="77777777">
      <w:pPr>
        <w:pStyle w:val="BodyText"/>
      </w:pPr>
      <w:r>
        <w:t>Økt bruk av sykehusapotekfremstilte bruksklare løsninger må vurderes opp mot tilvirkningskapasiteten i eksisterende sykehusapotek. For å sikre lik kvalitet og likt tilbud til avdelingene/pasientene breddes først leveransen av cytostatika,</w:t>
      </w:r>
      <w:r w:rsidRPr="00EC782F">
        <w:t xml:space="preserve"> </w:t>
      </w:r>
      <w:r>
        <w:t>parenteral ernæring og smerteblandinger.</w:t>
      </w:r>
      <w:r w:rsidRPr="00D17EBA">
        <w:t xml:space="preserve"> </w:t>
      </w:r>
      <w:r>
        <w:t xml:space="preserve">Det vil heve kvaliteten, være tidsbesparende for sykepleierne og sikre entydig identifisering helt frem til pasient. Elektronisk verifisering av denne type produkter vil ligge et stykke frem i tid og være avhengig av etablering av verifiserbare strekkoder. Fremdriften vil være avhengig av utredninger og beslutninger på regionalt nivå. </w:t>
      </w:r>
    </w:p>
    <w:p w:rsidR="00FD2D3B" w:rsidP="00E80315" w14:paraId="6A67BA4D" w14:textId="77777777">
      <w:pPr>
        <w:pStyle w:val="BodyText"/>
        <w:spacing w:after="0"/>
      </w:pPr>
      <w:r>
        <w:t xml:space="preserve">I neste trinn vurderes andre type infusjoner og sprøyteopptrekk. Dette må også sees i sammenheng med utredning av eventuelt fremtidig farmasitun og oppgaveglidning i ny sykehusstruktur. </w:t>
      </w:r>
    </w:p>
    <w:p w:rsidR="00FD2D3B" w:rsidP="00E80315" w14:paraId="28630A45" w14:textId="77777777">
      <w:pPr>
        <w:pStyle w:val="BodyText"/>
        <w:spacing w:before="0" w:after="0"/>
        <w:ind w:left="616"/>
      </w:pPr>
    </w:p>
    <w:p w:rsidR="00FD2D3B" w:rsidRPr="00E62051" w:rsidP="00E80315" w14:paraId="7A8DBAED" w14:textId="77777777">
      <w:pPr>
        <w:pStyle w:val="BodyText"/>
        <w:spacing w:before="0"/>
        <w:rPr>
          <w:b/>
        </w:rPr>
      </w:pPr>
      <w:r w:rsidRPr="00E62051">
        <w:rPr>
          <w:b/>
        </w:rPr>
        <w:t>Plan for endring av arbeidsprosesser</w:t>
      </w:r>
    </w:p>
    <w:p w:rsidR="00FD2D3B" w:rsidRPr="00C14131" w:rsidP="00E80315" w14:paraId="2A490957" w14:textId="77777777">
      <w:pPr>
        <w:pStyle w:val="BodyText"/>
      </w:pPr>
      <w:r w:rsidRPr="00C14131">
        <w:t>Med innføring av MetaVision og økt bruk av endoser vil det være behov for endring av arbeidsprosesser for å oppnå gevinst i form av bedre pasientsikkerhet og færre legemiddelrelaterte skader. Det er behov for å optimalisere og rasjonalisere måten man jobber på for å utnytte potensialet i MetaVision med tilhørende endoser i forbindelse med klargjøring og administrering av legemidler</w:t>
      </w:r>
      <w:r>
        <w:t xml:space="preserve">, </w:t>
      </w:r>
      <w:r w:rsidRPr="00C14131">
        <w:t>både før og etter innføring av skanning</w:t>
      </w:r>
    </w:p>
    <w:p w:rsidR="00FD2D3B" w:rsidRPr="001E6D73" w:rsidP="00E80315" w14:paraId="4EF8102B" w14:textId="77777777">
      <w:pPr>
        <w:pStyle w:val="BodyText"/>
        <w:rPr>
          <w:rStyle w:val="BrdtekstTegn"/>
        </w:rPr>
      </w:pPr>
      <w:r w:rsidRPr="00C14131">
        <w:t xml:space="preserve">Regionalt LLS prosjekt påbegynner høsten 2021 simulering og pilotering av nye arbeidsprosesser som vi munne ut i en regionale prosedyrer for lukket legemiddelsløyfe med standardiserte arbeidsprosesser.  Regionalt prosjekt vil bistå sykehusene med planlegging og </w:t>
      </w:r>
      <w:r w:rsidRPr="001E6D73">
        <w:rPr>
          <w:rStyle w:val="BrdtekstTegn"/>
        </w:rPr>
        <w:t>utføring av utrulling på de første enhetene.</w:t>
      </w:r>
    </w:p>
    <w:p w:rsidR="00FD2D3B" w:rsidRPr="00E80315" w:rsidP="00E80315" w14:paraId="1D9118FD" w14:textId="77777777">
      <w:pPr>
        <w:rPr>
          <w:rFonts w:asciiTheme="majorHAnsi" w:hAnsiTheme="majorHAnsi"/>
          <w:sz w:val="24"/>
          <w:szCs w:val="24"/>
        </w:rPr>
      </w:pPr>
      <w:r w:rsidRPr="00E80315">
        <w:rPr>
          <w:rFonts w:asciiTheme="majorHAnsi" w:hAnsiTheme="majorHAnsi"/>
          <w:sz w:val="24"/>
          <w:szCs w:val="24"/>
        </w:rPr>
        <w:t xml:space="preserve">Innføring av MetaVision har allerede igangsatt lokalt arbeid med justering av arbeidsprosesser. Endringene som gjøres må tilpasses økt bruk av endoser og fremtidig løsning som inkluderer skanning selv om kontrollene i startfasen må gjøres manuelt. </w:t>
      </w:r>
    </w:p>
    <w:p w:rsidR="00FD2D3B" w:rsidP="00E80315" w14:paraId="627873CE" w14:textId="77777777">
      <w:pPr>
        <w:pStyle w:val="BodyText"/>
        <w:spacing w:after="0"/>
      </w:pPr>
      <w:r>
        <w:t xml:space="preserve">Det kartlegges hvordan enhetene bruker MetaVision og de nye endosetrallene både med fokus på tidsbruk og pasientsikkerhet. Erfaringene tas med videre for å sikre erfaringsutveksling på tvers av avdelinger. Med utgangspunkt i dagens situasjon ser man på potensiale for optimalisering og rasjonalisering i arbeidsprosesser knyttet til klargjøring og administrering av legemidler frem mot innføring av lukket legemiddelsløyfe. En kirurgisk, en medisinsk og en psykiatrisk avdeling plukkes ut til å prøve ut nye arbeidsmetoder. Erfaringen fra disse sees i sammenheng med erfaringer fra regionale piloter. Enkle grep som alle avdelinger gradvis kan gjøre som en forberedelse til innføring av regional standard tas fortløpende i bruk ved alle aktuelle avdelinger. </w:t>
      </w:r>
    </w:p>
    <w:p w:rsidR="00E80315" w:rsidP="00E80315" w14:paraId="75266204" w14:textId="77777777">
      <w:pPr>
        <w:pStyle w:val="BodyText"/>
        <w:spacing w:before="0" w:after="0"/>
      </w:pPr>
    </w:p>
    <w:p w:rsidR="00FD2D3B" w:rsidRPr="001F4FA9" w:rsidP="00E80315" w14:paraId="04E29E38" w14:textId="4493CCD8">
      <w:pPr>
        <w:pStyle w:val="BodyText"/>
        <w:spacing w:before="0"/>
        <w:rPr>
          <w:b/>
        </w:rPr>
      </w:pPr>
      <w:r>
        <w:rPr>
          <w:b/>
        </w:rPr>
        <w:t>Plan for implementering av skanningkontroll</w:t>
      </w:r>
    </w:p>
    <w:p w:rsidR="00FD2D3B" w:rsidP="00E80315" w14:paraId="699838B1" w14:textId="665BEAA1">
      <w:pPr>
        <w:pStyle w:val="BodyText"/>
        <w:spacing w:after="0"/>
      </w:pPr>
      <w:r>
        <w:t>Skanningkontroll inkluderes i utprøvingen av arbeidsmetoder så snart nødvendig funksjonalitet foreligger. Det er vesentlig at det ikke går for lang tid fra innføring av MetaVision og endoser til utprøving av skanningkontroll i utvalgte enheter igangsettes slik at man raskt får synligjort fremtidige besparingspotensiale knytte til endringene som gjøres i arbeidsprosessene. Utrulling av skanning må sees i sammenheng med utrulling av nye arbeidsprosesser og nødvendig funksjonalitet. Forutsetter høy grad av elektronisk verifiserbare endoser.</w:t>
      </w:r>
    </w:p>
    <w:p w:rsidR="00E80315" w:rsidRPr="00FD2D3B" w:rsidP="00E80315" w14:paraId="6F45150D" w14:textId="77777777">
      <w:pPr>
        <w:pStyle w:val="BodyText"/>
        <w:spacing w:after="0"/>
        <w:rPr>
          <w:rFonts w:ascii="Calibri" w:hAnsi="Calibri"/>
          <w:sz w:val="28"/>
          <w:szCs w:val="28"/>
        </w:rPr>
      </w:pPr>
    </w:p>
    <w:p w:rsidR="00FD2D3B" w:rsidRPr="00FD2D3B" w:rsidP="00704230" w14:paraId="45D7E678" w14:textId="16A5F9CE">
      <w:pPr>
        <w:pStyle w:val="Heading2"/>
        <w:numPr>
          <w:ilvl w:val="1"/>
          <w:numId w:val="20"/>
        </w:numPr>
      </w:pPr>
      <w:r>
        <w:t xml:space="preserve"> </w:t>
      </w:r>
      <w:bookmarkStart w:id="18" w:name="_Toc85536852"/>
      <w:r w:rsidRPr="00FD2D3B">
        <w:t>Forløp 2</w:t>
      </w:r>
      <w:bookmarkEnd w:id="18"/>
    </w:p>
    <w:p w:rsidR="00FD2D3B" w:rsidP="00E80315" w14:paraId="06B15D84" w14:textId="77777777">
      <w:pPr>
        <w:pStyle w:val="BodyText"/>
        <w:spacing w:after="0"/>
      </w:pPr>
      <w:r w:rsidRPr="00782743">
        <w:t xml:space="preserve">Ved planlegging og bygging av nytt Mjøssykehus </w:t>
      </w:r>
      <w:r>
        <w:t xml:space="preserve">vil </w:t>
      </w:r>
      <w:r w:rsidRPr="00782743">
        <w:t xml:space="preserve">man etterstrebe å etablere den mest fremtidsrettede løsningen. Valg av modell for </w:t>
      </w:r>
      <w:r>
        <w:t>lukket legemiddelsløyfe</w:t>
      </w:r>
      <w:r w:rsidRPr="00782743">
        <w:t xml:space="preserve"> vil få konsekvenser for utforming av nytt Mjøssykehus</w:t>
      </w:r>
      <w:r>
        <w:t>, både bygningsteknisk og utstyrsmessig. E</w:t>
      </w:r>
      <w:r w:rsidRPr="00782743">
        <w:t xml:space="preserve">tablering av </w:t>
      </w:r>
      <w:r>
        <w:t>f</w:t>
      </w:r>
      <w:r w:rsidRPr="00782743">
        <w:t>armasitun må også tas med i vurderingen</w:t>
      </w:r>
      <w:r w:rsidRPr="004311BF">
        <w:t>. Dersom RLLS ikke har besluttet fremtidig modell</w:t>
      </w:r>
      <w:r>
        <w:t xml:space="preserve"> når planlegging starter</w:t>
      </w:r>
      <w:r w:rsidRPr="004311BF">
        <w:t xml:space="preserve">, må Sykehuset Innlandet på selvstendig grunnlag velge </w:t>
      </w:r>
      <w:r w:rsidRPr="00F84A9D">
        <w:t>løsning.</w:t>
      </w:r>
      <w:r>
        <w:t xml:space="preserve"> </w:t>
      </w:r>
    </w:p>
    <w:p w:rsidR="00FD2D3B" w:rsidP="00E80315" w14:paraId="5D5D5536" w14:textId="77777777">
      <w:pPr>
        <w:pStyle w:val="BodyText"/>
        <w:spacing w:before="0" w:after="0"/>
        <w:rPr>
          <w:b/>
        </w:rPr>
      </w:pPr>
    </w:p>
    <w:p w:rsidR="00FD2D3B" w:rsidP="00E80315" w14:paraId="609AE4AA" w14:textId="77777777">
      <w:pPr>
        <w:pStyle w:val="BodyText"/>
        <w:spacing w:before="0"/>
        <w:rPr>
          <w:b/>
        </w:rPr>
      </w:pPr>
      <w:r>
        <w:rPr>
          <w:b/>
        </w:rPr>
        <w:t>Plan for implementering av pasientspesifikke endoser</w:t>
      </w:r>
    </w:p>
    <w:p w:rsidR="00FD2D3B" w:rsidP="00987581" w14:paraId="4700A30C" w14:textId="4EE27AF9">
      <w:pPr>
        <w:pStyle w:val="BodyText"/>
        <w:spacing w:before="0"/>
      </w:pPr>
      <w:r>
        <w:t xml:space="preserve">Implementering av pasientspesifikke endoser, pasientbundet og/eller pasientmerket </w:t>
      </w:r>
      <w:r w:rsidRPr="00782743">
        <w:t xml:space="preserve">vil avhenge av </w:t>
      </w:r>
      <w:r>
        <w:t>anbefalte standarder</w:t>
      </w:r>
      <w:r w:rsidRPr="00782743">
        <w:t xml:space="preserve"> som fattes i RLLS. </w:t>
      </w:r>
      <w:r>
        <w:t xml:space="preserve">Plan for implementering av pasientspesifikke endoser må derfor utarbeides på et senere tidspunkt da mer kunnskap om dette og erfaringer fra pilotering foreligger. Implementering av pasientspesifikke endoser må tilpasses både eksisterende bygningsmasse som skal videreføres og nytt sykehusbygg. </w:t>
      </w:r>
    </w:p>
    <w:p w:rsidR="00987581" w:rsidP="00987581" w14:paraId="61948057" w14:textId="77777777">
      <w:pPr>
        <w:pStyle w:val="BodyText"/>
        <w:spacing w:before="0"/>
        <w:rPr>
          <w:rFonts w:asciiTheme="minorHAnsi" w:hAnsiTheme="minorHAnsi" w:cstheme="minorHAnsi"/>
          <w:b/>
          <w:color w:val="244061" w:themeColor="accent1" w:themeShade="80"/>
          <w:sz w:val="28"/>
          <w:szCs w:val="28"/>
        </w:rPr>
      </w:pPr>
    </w:p>
    <w:p w:rsidR="000E56D1" w:rsidRPr="000D71F9" w:rsidP="00987581" w14:paraId="17EE5A01" w14:textId="40C95F9F">
      <w:pPr>
        <w:pStyle w:val="Heading1"/>
        <w:numPr>
          <w:ilvl w:val="0"/>
          <w:numId w:val="20"/>
        </w:numPr>
      </w:pPr>
      <w:bookmarkStart w:id="19" w:name="_TOC_250002"/>
      <w:bookmarkStart w:id="20" w:name="_Toc85536853"/>
      <w:bookmarkEnd w:id="19"/>
      <w:r w:rsidRPr="000D71F9">
        <w:t>Forutsetning for vellykket innføring</w:t>
      </w:r>
      <w:bookmarkEnd w:id="20"/>
    </w:p>
    <w:p w:rsidR="000E56D1" w:rsidRPr="00682398" w:rsidP="000E56D1" w14:paraId="5709155D" w14:textId="77777777">
      <w:pPr>
        <w:pStyle w:val="BodyText"/>
      </w:pPr>
      <w:r w:rsidRPr="00682398">
        <w:t xml:space="preserve">For å sikre en vellykket innføring er det en forutsetning at nødvendige legemidler og en rekke integrasjoner er på plass og ikke til hinder for oppstart, samt underbygger effekten av tiltakene. </w:t>
      </w:r>
    </w:p>
    <w:p w:rsidR="000E56D1" w:rsidRPr="00683253" w:rsidP="000E56D1" w14:paraId="1285763E" w14:textId="77777777">
      <w:pPr>
        <w:pStyle w:val="BodyText"/>
        <w:numPr>
          <w:ilvl w:val="0"/>
          <w:numId w:val="38"/>
        </w:numPr>
        <w:rPr>
          <w:b/>
        </w:rPr>
      </w:pPr>
      <w:r w:rsidRPr="00683253">
        <w:t>Elektronisk identifiserbare endoser utnyttes optimalt</w:t>
      </w:r>
    </w:p>
    <w:p w:rsidR="000E56D1" w:rsidP="000E56D1" w14:paraId="2515D9C1" w14:textId="77777777">
      <w:pPr>
        <w:pStyle w:val="BodyText"/>
        <w:numPr>
          <w:ilvl w:val="0"/>
          <w:numId w:val="38"/>
        </w:numPr>
        <w:rPr>
          <w:b/>
        </w:rPr>
      </w:pPr>
      <w:r w:rsidRPr="00683253">
        <w:t xml:space="preserve">Elektronisk verifikasjon tilgjengelig på </w:t>
      </w:r>
      <w:r>
        <w:t xml:space="preserve">alle pakningsnivå </w:t>
      </w:r>
    </w:p>
    <w:p w:rsidR="000E56D1" w:rsidP="000E56D1" w14:paraId="524F818D" w14:textId="77777777">
      <w:pPr>
        <w:pStyle w:val="BodyText"/>
        <w:numPr>
          <w:ilvl w:val="0"/>
          <w:numId w:val="38"/>
        </w:numPr>
        <w:rPr>
          <w:b/>
        </w:rPr>
      </w:pPr>
      <w:r>
        <w:t>Infrastruktur- medisinrom, trådløst nett osv</w:t>
      </w:r>
    </w:p>
    <w:p w:rsidR="000E56D1" w:rsidP="000E56D1" w14:paraId="4F29E027" w14:textId="77777777">
      <w:pPr>
        <w:pStyle w:val="BodyText"/>
        <w:numPr>
          <w:ilvl w:val="0"/>
          <w:numId w:val="38"/>
        </w:numPr>
        <w:rPr>
          <w:b/>
        </w:rPr>
      </w:pPr>
      <w:r>
        <w:t>Teknologi og integrasjon for bruk av mobile løsninger er på plass</w:t>
      </w:r>
    </w:p>
    <w:p w:rsidR="000E56D1" w:rsidP="000E56D1" w14:paraId="14892185" w14:textId="77777777">
      <w:pPr>
        <w:pStyle w:val="BodyText"/>
        <w:numPr>
          <w:ilvl w:val="0"/>
          <w:numId w:val="38"/>
        </w:numPr>
        <w:rPr>
          <w:b/>
        </w:rPr>
      </w:pPr>
      <w:r>
        <w:t>GS1 standard for strekkodebruk implementert i MetaVision</w:t>
      </w:r>
    </w:p>
    <w:p w:rsidR="00B65111" w:rsidRPr="00987581" w:rsidP="000E56D1" w14:paraId="1CFD69CB" w14:textId="1D9C5F7F">
      <w:pPr>
        <w:pStyle w:val="BodyText"/>
        <w:numPr>
          <w:ilvl w:val="0"/>
          <w:numId w:val="38"/>
        </w:numPr>
        <w:rPr>
          <w:b/>
        </w:rPr>
      </w:pPr>
      <w:r>
        <w:t xml:space="preserve">Logistikk og lagersystem for legemidler, inkludert integrasjon mot MetaVision </w:t>
      </w:r>
    </w:p>
    <w:p w:rsidR="00987581" w:rsidRPr="000E56D1" w:rsidP="00987581" w14:paraId="13083C38" w14:textId="77777777">
      <w:pPr>
        <w:pStyle w:val="BodyText"/>
        <w:ind w:left="720"/>
        <w:rPr>
          <w:b/>
        </w:rPr>
      </w:pPr>
    </w:p>
    <w:p w:rsidR="000E56D1" w:rsidRPr="009E3A0F" w:rsidP="00AD7C32" w14:paraId="3452D173" w14:textId="7F6D9EE5">
      <w:pPr>
        <w:pStyle w:val="Heading1"/>
        <w:numPr>
          <w:ilvl w:val="0"/>
          <w:numId w:val="20"/>
        </w:numPr>
      </w:pPr>
      <w:bookmarkStart w:id="21" w:name="_Toc85536854"/>
      <w:r>
        <w:t>Risikomomenter</w:t>
      </w:r>
      <w:bookmarkEnd w:id="21"/>
    </w:p>
    <w:p w:rsidR="00191384" w:rsidP="00AD7C32" w14:paraId="40D04ABE" w14:textId="77777777">
      <w:pPr>
        <w:pStyle w:val="BodyText"/>
        <w:numPr>
          <w:ilvl w:val="0"/>
          <w:numId w:val="27"/>
        </w:numPr>
      </w:pPr>
      <w:r>
        <w:t>At en tilstrekkelig andel elektronisk identifiserbare perorale endoser kan leveres</w:t>
      </w:r>
    </w:p>
    <w:p w:rsidR="00191384" w:rsidP="00AD7C32" w14:paraId="11D02521" w14:textId="77777777">
      <w:pPr>
        <w:pStyle w:val="BodyText"/>
        <w:numPr>
          <w:ilvl w:val="0"/>
          <w:numId w:val="27"/>
        </w:numPr>
      </w:pPr>
      <w:r>
        <w:t xml:space="preserve">At parenterale endoser blir elektronisk verifiserbare </w:t>
      </w:r>
    </w:p>
    <w:p w:rsidR="00B65111" w:rsidRPr="004311BF" w:rsidP="00AD7C32" w14:paraId="792D2F1D" w14:textId="77777777">
      <w:pPr>
        <w:pStyle w:val="BodyText"/>
        <w:numPr>
          <w:ilvl w:val="0"/>
          <w:numId w:val="27"/>
        </w:numPr>
      </w:pPr>
      <w:r w:rsidRPr="004311BF">
        <w:t>At leveranser og utvikling av IKT løsninger skjer i henhold til</w:t>
      </w:r>
      <w:r w:rsidRPr="004311BF">
        <w:rPr>
          <w:spacing w:val="-9"/>
        </w:rPr>
        <w:t xml:space="preserve"> </w:t>
      </w:r>
      <w:r w:rsidRPr="004311BF">
        <w:t>plan</w:t>
      </w:r>
    </w:p>
    <w:p w:rsidR="00B65111" w:rsidP="00AD7C32" w14:paraId="55755A5A" w14:textId="77777777">
      <w:pPr>
        <w:pStyle w:val="BodyText"/>
        <w:numPr>
          <w:ilvl w:val="0"/>
          <w:numId w:val="27"/>
        </w:numPr>
      </w:pPr>
      <w:r w:rsidRPr="004311BF">
        <w:t>At anskaffelse av utstyr skjer i henhold til</w:t>
      </w:r>
      <w:r w:rsidRPr="004311BF">
        <w:rPr>
          <w:spacing w:val="-7"/>
        </w:rPr>
        <w:t xml:space="preserve"> </w:t>
      </w:r>
      <w:r w:rsidRPr="004311BF">
        <w:t>plan</w:t>
      </w:r>
    </w:p>
    <w:p w:rsidR="00191384" w:rsidRPr="004311BF" w:rsidP="00AD7C32" w14:paraId="1218216A" w14:textId="77777777">
      <w:pPr>
        <w:pStyle w:val="BodyText"/>
        <w:numPr>
          <w:ilvl w:val="0"/>
          <w:numId w:val="27"/>
        </w:numPr>
      </w:pPr>
      <w:r>
        <w:t xml:space="preserve">At pilotavdelinger har tilstrekkelige ressurser til å teste ut nye arbeidsprosesser </w:t>
      </w:r>
    </w:p>
    <w:p w:rsidR="00B65111" w:rsidP="00AD7C32" w14:paraId="42C69681" w14:textId="77777777">
      <w:pPr>
        <w:pStyle w:val="BodyText"/>
        <w:numPr>
          <w:ilvl w:val="0"/>
          <w:numId w:val="27"/>
        </w:numPr>
      </w:pPr>
      <w:r w:rsidRPr="004311BF">
        <w:t xml:space="preserve">Økte kostnader til </w:t>
      </w:r>
      <w:r w:rsidR="00191384">
        <w:t xml:space="preserve">perorale og parenterale </w:t>
      </w:r>
      <w:r w:rsidRPr="004311BF">
        <w:t xml:space="preserve">endoser </w:t>
      </w:r>
    </w:p>
    <w:p w:rsidR="00CB4851" w:rsidP="00AD7C32" w14:paraId="5788B924" w14:textId="77777777">
      <w:pPr>
        <w:pStyle w:val="BodyText"/>
        <w:numPr>
          <w:ilvl w:val="0"/>
          <w:numId w:val="27"/>
        </w:numPr>
      </w:pPr>
      <w:r>
        <w:t>At industrifremstilte bruksklare parente</w:t>
      </w:r>
      <w:r w:rsidR="00135F35">
        <w:t xml:space="preserve">rale løsninger kan skaffes uten </w:t>
      </w:r>
      <w:r>
        <w:t>stor fare for kassasjon</w:t>
      </w:r>
    </w:p>
    <w:p w:rsidR="003E67CB" w:rsidP="00AD7C32" w14:paraId="33337198" w14:textId="5BBC4A5D">
      <w:pPr>
        <w:pStyle w:val="BodyText"/>
        <w:numPr>
          <w:ilvl w:val="0"/>
          <w:numId w:val="27"/>
        </w:numPr>
      </w:pPr>
      <w:r>
        <w:t xml:space="preserve">At sykehusapotekene kan tilby lik leveranse av sykehusapotekfremstilte bruksklare løsninger i hele </w:t>
      </w:r>
      <w:r w:rsidR="00135F35">
        <w:t>Sykehuset Innlandet</w:t>
      </w:r>
      <w:r>
        <w:t xml:space="preserve"> </w:t>
      </w:r>
      <w:bookmarkStart w:id="22" w:name="_TOC_250015"/>
      <w:bookmarkStart w:id="23" w:name="_TOC_250014"/>
      <w:bookmarkStart w:id="24" w:name="_TOC_250011"/>
      <w:bookmarkEnd w:id="14"/>
      <w:bookmarkEnd w:id="22"/>
      <w:bookmarkEnd w:id="23"/>
      <w:bookmarkEnd w:id="24"/>
    </w:p>
    <w:p w:rsidR="006D7F1F" w:rsidRPr="00AD7C32" w:rsidP="006D7F1F" w14:paraId="617DB1B1" w14:textId="77777777">
      <w:pPr>
        <w:pStyle w:val="BodyText"/>
        <w:ind w:left="720"/>
      </w:pPr>
    </w:p>
    <w:p w:rsidR="0026532E" w:rsidP="00AD7C32" w14:paraId="5799B40D" w14:textId="77777777">
      <w:pPr>
        <w:pStyle w:val="Heading1"/>
        <w:numPr>
          <w:ilvl w:val="0"/>
          <w:numId w:val="20"/>
        </w:numPr>
      </w:pPr>
      <w:bookmarkStart w:id="25" w:name="_Toc85536855"/>
      <w:r>
        <w:t>Omfang og tidsfasing</w:t>
      </w:r>
      <w:bookmarkEnd w:id="25"/>
    </w:p>
    <w:p w:rsidR="007C320B" w:rsidP="00AD7C32" w14:paraId="3E9D3CC7" w14:textId="77777777">
      <w:pPr>
        <w:pStyle w:val="BodyText"/>
      </w:pPr>
      <w:r w:rsidRPr="004311BF">
        <w:t>Innføringsplan vil være avhengig av tilgjengelighet av elektronisk verifiserbare</w:t>
      </w:r>
      <w:r w:rsidR="00CB4851">
        <w:t xml:space="preserve"> endoser inkludert bruksklare løsninger</w:t>
      </w:r>
      <w:r w:rsidRPr="004311BF">
        <w:t>,</w:t>
      </w:r>
      <w:r w:rsidR="00B31C1F">
        <w:t xml:space="preserve"> </w:t>
      </w:r>
      <w:r w:rsidR="00CB4851">
        <w:t xml:space="preserve">leveranse av tilstrekkelig funksjonalitet i MetaVision og mobil løsning for elektronisk verifikasjon ved administrering av legemidler, </w:t>
      </w:r>
      <w:r w:rsidRPr="004311BF">
        <w:t>konseptvalg i RLLS, ny sykehusstruktur og investeringsmuligheter.</w:t>
      </w:r>
    </w:p>
    <w:p w:rsidR="006D7F1F" w:rsidP="00AD7C32" w14:paraId="1FFED2EC" w14:textId="77777777">
      <w:pPr>
        <w:pStyle w:val="BodyText"/>
        <w:rPr>
          <w:b/>
        </w:rPr>
      </w:pPr>
    </w:p>
    <w:p w:rsidR="00FC4660" w:rsidRPr="00AD7C32" w:rsidP="00AD7C32" w14:paraId="313160E8" w14:textId="44FFAF8F">
      <w:pPr>
        <w:pStyle w:val="BodyText"/>
        <w:rPr>
          <w:b/>
        </w:rPr>
      </w:pPr>
      <w:r w:rsidRPr="00AD7C32">
        <w:rPr>
          <w:b/>
        </w:rPr>
        <w:t xml:space="preserve">Tentativ tidsplan </w:t>
      </w:r>
    </w:p>
    <w:p w:rsidR="001E53F2" w:rsidRPr="00082650" w:rsidP="00AD7C32" w14:paraId="4E5F6A1D" w14:textId="0B84D623">
      <w:pPr>
        <w:pStyle w:val="BodyText"/>
        <w:rPr>
          <w:b/>
        </w:rPr>
      </w:pPr>
      <w:r w:rsidRPr="00082650">
        <w:rPr>
          <w:b/>
        </w:rPr>
        <w:t>Forløp 1</w:t>
      </w:r>
    </w:p>
    <w:p w:rsidR="001E53F2" w:rsidRPr="00082650" w:rsidP="00AD7C32" w14:paraId="3D76BF77" w14:textId="77777777">
      <w:pPr>
        <w:pStyle w:val="BodyText"/>
        <w:numPr>
          <w:ilvl w:val="0"/>
          <w:numId w:val="28"/>
        </w:numPr>
      </w:pPr>
      <w:r w:rsidRPr="00082650">
        <w:t xml:space="preserve">Innføring av MetaVision </w:t>
      </w:r>
      <w:r w:rsidRPr="00082650" w:rsidR="004A4B77">
        <w:t xml:space="preserve">| </w:t>
      </w:r>
      <w:r w:rsidRPr="00082650">
        <w:t>September 2020</w:t>
      </w:r>
      <w:r w:rsidRPr="00082650" w:rsidR="00145601">
        <w:t xml:space="preserve"> </w:t>
      </w:r>
      <w:r w:rsidRPr="00082650">
        <w:t>-&gt; Desember 2021</w:t>
      </w:r>
    </w:p>
    <w:p w:rsidR="007C320B" w:rsidRPr="00082650" w:rsidP="00AD7C32" w14:paraId="0F9C0569" w14:textId="0FC35CC6">
      <w:pPr>
        <w:pStyle w:val="BodyText"/>
        <w:numPr>
          <w:ilvl w:val="0"/>
          <w:numId w:val="28"/>
        </w:numPr>
      </w:pPr>
      <w:r w:rsidRPr="00082650">
        <w:t>Økt</w:t>
      </w:r>
      <w:r w:rsidRPr="00082650" w:rsidR="001E53F2">
        <w:t xml:space="preserve"> bruk av p</w:t>
      </w:r>
      <w:r w:rsidRPr="00082650">
        <w:t xml:space="preserve">erorale endoser </w:t>
      </w:r>
      <w:r w:rsidRPr="00082650" w:rsidR="004A4B77">
        <w:t xml:space="preserve">| </w:t>
      </w:r>
      <w:r w:rsidRPr="00082650">
        <w:t>Mars</w:t>
      </w:r>
      <w:r w:rsidRPr="00082650" w:rsidR="00CB4851">
        <w:t xml:space="preserve"> 2021-</w:t>
      </w:r>
      <w:r w:rsidRPr="00082650" w:rsidR="001E53F2">
        <w:t>&gt;</w:t>
      </w:r>
      <w:r w:rsidRPr="00082650" w:rsidR="00CB4851">
        <w:t xml:space="preserve"> </w:t>
      </w:r>
      <w:r w:rsidRPr="00082650" w:rsidR="006D7F1F">
        <w:t>Juni 2024</w:t>
      </w:r>
    </w:p>
    <w:p w:rsidR="00CB4851" w:rsidRPr="00082650" w:rsidP="00AD7C32" w14:paraId="6F884410" w14:textId="7F00E4B3">
      <w:pPr>
        <w:pStyle w:val="BodyText"/>
        <w:numPr>
          <w:ilvl w:val="0"/>
          <w:numId w:val="28"/>
        </w:numPr>
      </w:pPr>
      <w:r w:rsidRPr="00082650">
        <w:t>Økt bruk av p</w:t>
      </w:r>
      <w:r w:rsidRPr="00082650">
        <w:t xml:space="preserve">arenterale endoser </w:t>
      </w:r>
      <w:r w:rsidRPr="00082650" w:rsidR="004A4B77">
        <w:t xml:space="preserve">| </w:t>
      </w:r>
      <w:r w:rsidRPr="00082650">
        <w:t xml:space="preserve">Mars 2022 </w:t>
      </w:r>
      <w:r w:rsidRPr="00082650" w:rsidR="00145601">
        <w:t>-</w:t>
      </w:r>
      <w:r w:rsidRPr="00082650">
        <w:t>&gt;</w:t>
      </w:r>
      <w:r w:rsidRPr="00082650">
        <w:t xml:space="preserve"> </w:t>
      </w:r>
      <w:r w:rsidRPr="00082650" w:rsidR="006D7F1F">
        <w:t>Juni</w:t>
      </w:r>
      <w:r w:rsidRPr="00082650">
        <w:t xml:space="preserve"> 202</w:t>
      </w:r>
      <w:r w:rsidRPr="00082650" w:rsidR="006D7F1F">
        <w:t>4</w:t>
      </w:r>
    </w:p>
    <w:p w:rsidR="00CB4851" w:rsidRPr="00082650" w:rsidP="00AD7C32" w14:paraId="59A81F7C" w14:textId="3026843C">
      <w:pPr>
        <w:pStyle w:val="BodyText"/>
        <w:numPr>
          <w:ilvl w:val="0"/>
          <w:numId w:val="28"/>
        </w:numPr>
      </w:pPr>
      <w:r w:rsidRPr="00082650">
        <w:t xml:space="preserve">Innhente erfaringer med endoserelaterte </w:t>
      </w:r>
      <w:r w:rsidRPr="00082650" w:rsidR="001E53F2">
        <w:t xml:space="preserve">arbeidsprosesser </w:t>
      </w:r>
      <w:r w:rsidRPr="00082650" w:rsidR="004A4B77">
        <w:t xml:space="preserve">| </w:t>
      </w:r>
      <w:r w:rsidRPr="00082650" w:rsidR="003E67CB">
        <w:t xml:space="preserve">Juni </w:t>
      </w:r>
      <w:r w:rsidRPr="00082650" w:rsidR="001E53F2">
        <w:t xml:space="preserve">2021 -&gt; </w:t>
      </w:r>
      <w:r w:rsidRPr="00082650" w:rsidR="00145601">
        <w:t>Juni</w:t>
      </w:r>
      <w:r w:rsidRPr="00082650" w:rsidR="00A6177F">
        <w:t xml:space="preserve"> 2023</w:t>
      </w:r>
    </w:p>
    <w:p w:rsidR="001E53F2" w:rsidRPr="00082650" w:rsidP="00AD7C32" w14:paraId="21CCB3B0" w14:textId="6140C910">
      <w:pPr>
        <w:pStyle w:val="BodyText"/>
        <w:numPr>
          <w:ilvl w:val="0"/>
          <w:numId w:val="28"/>
        </w:numPr>
      </w:pPr>
      <w:r w:rsidRPr="00082650">
        <w:t xml:space="preserve">Utprøving </w:t>
      </w:r>
      <w:r w:rsidRPr="00082650">
        <w:t xml:space="preserve">av nye arbeidsprosesser </w:t>
      </w:r>
      <w:r w:rsidRPr="00082650" w:rsidR="004A4B77">
        <w:t xml:space="preserve">| </w:t>
      </w:r>
      <w:r w:rsidRPr="00082650" w:rsidR="003E67CB">
        <w:t xml:space="preserve">Januar </w:t>
      </w:r>
      <w:r w:rsidRPr="00082650">
        <w:t xml:space="preserve">2022 -&gt; </w:t>
      </w:r>
      <w:r w:rsidRPr="00082650" w:rsidR="00145601">
        <w:t>Juni</w:t>
      </w:r>
      <w:r w:rsidRPr="00082650">
        <w:t xml:space="preserve"> 2023</w:t>
      </w:r>
    </w:p>
    <w:p w:rsidR="006D7F1F" w:rsidRPr="00082650" w:rsidP="00AD7C32" w14:paraId="0D6E4927" w14:textId="30B3628D">
      <w:pPr>
        <w:pStyle w:val="BodyText"/>
        <w:numPr>
          <w:ilvl w:val="0"/>
          <w:numId w:val="28"/>
        </w:numPr>
      </w:pPr>
      <w:r w:rsidRPr="00082650">
        <w:t xml:space="preserve">Utrulling av nye arbeidsprosesser | </w:t>
      </w:r>
      <w:r w:rsidRPr="00082650" w:rsidR="002220EC">
        <w:t>Juli</w:t>
      </w:r>
      <w:r w:rsidRPr="00082650">
        <w:t xml:space="preserve"> </w:t>
      </w:r>
      <w:r w:rsidRPr="00082650" w:rsidR="00A626FC">
        <w:t>2023</w:t>
      </w:r>
      <w:r w:rsidRPr="00082650">
        <w:t xml:space="preserve"> -&gt; </w:t>
      </w:r>
      <w:r w:rsidRPr="00082650" w:rsidR="00A626FC">
        <w:t>Desember 2024</w:t>
      </w:r>
    </w:p>
    <w:p w:rsidR="001E53F2" w:rsidRPr="00082650" w:rsidP="00AD7C32" w14:paraId="45162008" w14:textId="49951238">
      <w:pPr>
        <w:pStyle w:val="BodyText"/>
        <w:numPr>
          <w:ilvl w:val="0"/>
          <w:numId w:val="28"/>
        </w:numPr>
      </w:pPr>
      <w:r w:rsidRPr="00082650">
        <w:t>Utprøving</w:t>
      </w:r>
      <w:r w:rsidRPr="00082650" w:rsidR="00145601">
        <w:t xml:space="preserve"> av </w:t>
      </w:r>
      <w:r w:rsidRPr="00082650">
        <w:t xml:space="preserve">skanningkontroll </w:t>
      </w:r>
      <w:r w:rsidRPr="00082650" w:rsidR="004A4B77">
        <w:t xml:space="preserve">| </w:t>
      </w:r>
      <w:r w:rsidRPr="00082650">
        <w:t>September 2022</w:t>
      </w:r>
      <w:r w:rsidRPr="00082650">
        <w:t xml:space="preserve"> -&gt; </w:t>
      </w:r>
      <w:r w:rsidRPr="00082650">
        <w:t>Juni 2023</w:t>
      </w:r>
      <w:r w:rsidRPr="00082650">
        <w:t xml:space="preserve"> </w:t>
      </w:r>
    </w:p>
    <w:p w:rsidR="001E53F2" w:rsidRPr="00082650" w:rsidP="00AD7C32" w14:paraId="7CD7BC7A" w14:textId="7BA38D04">
      <w:pPr>
        <w:pStyle w:val="BodyText"/>
        <w:numPr>
          <w:ilvl w:val="0"/>
          <w:numId w:val="28"/>
        </w:numPr>
      </w:pPr>
      <w:r w:rsidRPr="00082650">
        <w:t>Utrulling av s</w:t>
      </w:r>
      <w:r w:rsidRPr="00082650">
        <w:t xml:space="preserve">kanningkontroll </w:t>
      </w:r>
      <w:r w:rsidRPr="00082650" w:rsidR="004A4B77">
        <w:t xml:space="preserve">| </w:t>
      </w:r>
      <w:r w:rsidRPr="00082650" w:rsidR="002220EC">
        <w:t>Juli</w:t>
      </w:r>
      <w:r w:rsidRPr="00082650">
        <w:t xml:space="preserve"> 2023 -&gt; </w:t>
      </w:r>
      <w:r w:rsidRPr="00082650" w:rsidR="002220EC">
        <w:t xml:space="preserve">Desember </w:t>
      </w:r>
      <w:r w:rsidRPr="00082650">
        <w:t>202</w:t>
      </w:r>
      <w:r w:rsidRPr="00082650">
        <w:t>4</w:t>
      </w:r>
      <w:r w:rsidRPr="00082650">
        <w:t xml:space="preserve"> </w:t>
      </w:r>
    </w:p>
    <w:p w:rsidR="00145601" w:rsidRPr="00082650" w:rsidP="00AD7C32" w14:paraId="7B6691E6" w14:textId="259EA8AA">
      <w:pPr>
        <w:pStyle w:val="BodyText"/>
        <w:numPr>
          <w:ilvl w:val="0"/>
          <w:numId w:val="28"/>
        </w:numPr>
      </w:pPr>
      <w:r w:rsidRPr="00082650">
        <w:t xml:space="preserve">Øke bruk av </w:t>
      </w:r>
      <w:r w:rsidRPr="00082650">
        <w:t xml:space="preserve">industrifremstilte </w:t>
      </w:r>
      <w:r w:rsidRPr="00082650">
        <w:t xml:space="preserve">bruksklare parenterale løsninger </w:t>
      </w:r>
      <w:r w:rsidRPr="00082650" w:rsidR="004A4B77">
        <w:t>|</w:t>
      </w:r>
      <w:r w:rsidRPr="00082650" w:rsidR="00A6177F">
        <w:t xml:space="preserve"> </w:t>
      </w:r>
      <w:r w:rsidRPr="00082650">
        <w:t xml:space="preserve">Mars 2022 -&gt; </w:t>
      </w:r>
      <w:r w:rsidRPr="00082650" w:rsidR="002220EC">
        <w:t>Juni 2024</w:t>
      </w:r>
    </w:p>
    <w:p w:rsidR="00145601" w:rsidRPr="00082650" w:rsidP="00AD7C32" w14:paraId="28F80EE1" w14:textId="698DF7F9">
      <w:pPr>
        <w:pStyle w:val="BodyText"/>
        <w:numPr>
          <w:ilvl w:val="0"/>
          <w:numId w:val="28"/>
        </w:numPr>
      </w:pPr>
      <w:r w:rsidRPr="00082650">
        <w:t xml:space="preserve">Øke bruk av sykehusapotekfremstilte bruksklare løsninger </w:t>
      </w:r>
      <w:r w:rsidRPr="00082650" w:rsidR="004A4B77">
        <w:t xml:space="preserve">| </w:t>
      </w:r>
      <w:r w:rsidRPr="00082650" w:rsidR="002220EC">
        <w:t>Juni</w:t>
      </w:r>
      <w:r w:rsidRPr="00082650" w:rsidR="001E53F2">
        <w:t xml:space="preserve"> 2022 </w:t>
      </w:r>
      <w:r w:rsidRPr="00082650" w:rsidR="002220EC">
        <w:t>-&gt;</w:t>
      </w:r>
      <w:r w:rsidRPr="00082650">
        <w:t xml:space="preserve"> </w:t>
      </w:r>
      <w:r w:rsidRPr="00082650" w:rsidR="002220EC">
        <w:t xml:space="preserve">Desember </w:t>
      </w:r>
      <w:r w:rsidRPr="00082650">
        <w:t>2024</w:t>
      </w:r>
    </w:p>
    <w:p w:rsidR="006D7F1F" w:rsidRPr="00082650" w:rsidP="00AD7C32" w14:paraId="0EC2D1CB" w14:textId="77777777">
      <w:pPr>
        <w:pStyle w:val="BodyText"/>
        <w:rPr>
          <w:b/>
        </w:rPr>
      </w:pPr>
    </w:p>
    <w:p w:rsidR="00145601" w:rsidRPr="00082650" w:rsidP="00AD7C32" w14:paraId="4F5F9DFC" w14:textId="5F77B760">
      <w:pPr>
        <w:pStyle w:val="BodyText"/>
        <w:rPr>
          <w:b/>
        </w:rPr>
      </w:pPr>
      <w:r w:rsidRPr="00082650">
        <w:rPr>
          <w:b/>
        </w:rPr>
        <w:t>Forløp 2</w:t>
      </w:r>
    </w:p>
    <w:p w:rsidR="00145601" w:rsidRPr="00082650" w:rsidP="00AD7C32" w14:paraId="223CBAFE" w14:textId="0FBC04FE">
      <w:pPr>
        <w:pStyle w:val="BodyText"/>
        <w:numPr>
          <w:ilvl w:val="0"/>
          <w:numId w:val="29"/>
        </w:numPr>
      </w:pPr>
      <w:r w:rsidRPr="00082650">
        <w:t xml:space="preserve">Planlegging </w:t>
      </w:r>
      <w:r w:rsidRPr="00082650" w:rsidR="004A4B77">
        <w:t xml:space="preserve">| </w:t>
      </w:r>
      <w:r w:rsidRPr="00082650" w:rsidR="002220EC">
        <w:t xml:space="preserve">Januar </w:t>
      </w:r>
      <w:r w:rsidRPr="00082650">
        <w:t>202</w:t>
      </w:r>
      <w:r w:rsidRPr="00082650" w:rsidR="006D7F1F">
        <w:t>2</w:t>
      </w:r>
      <w:r w:rsidRPr="00082650" w:rsidR="002220EC">
        <w:t xml:space="preserve"> </w:t>
      </w:r>
      <w:r w:rsidRPr="00082650">
        <w:t>-&gt;</w:t>
      </w:r>
    </w:p>
    <w:p w:rsidR="007B359B" w:rsidRPr="00082650" w:rsidP="00AD7C32" w14:paraId="0EDE7213" w14:textId="77777777">
      <w:pPr>
        <w:pStyle w:val="BodyText"/>
        <w:numPr>
          <w:ilvl w:val="0"/>
          <w:numId w:val="29"/>
        </w:numPr>
      </w:pPr>
      <w:r w:rsidRPr="00082650">
        <w:t>Pilotere</w:t>
      </w:r>
    </w:p>
    <w:p w:rsidR="007B359B" w:rsidRPr="00082650" w:rsidP="00AD7C32" w14:paraId="06CB078A" w14:textId="199DE66A">
      <w:pPr>
        <w:pStyle w:val="BodyText"/>
        <w:numPr>
          <w:ilvl w:val="0"/>
          <w:numId w:val="29"/>
        </w:numPr>
      </w:pPr>
      <w:r w:rsidRPr="00082650">
        <w:t xml:space="preserve">Iverksette i ny sykehusstruktur </w:t>
      </w:r>
      <w:r w:rsidRPr="00082650" w:rsidR="006D7F1F">
        <w:t>| 2028</w:t>
      </w:r>
    </w:p>
    <w:sectPr w:rsidSect="000E56D1">
      <w:headerReference w:type="default" r:id="rId17"/>
      <w:footerReference w:type="default" r:id="rId18"/>
      <w:pgSz w:w="11910" w:h="16840"/>
      <w:pgMar w:top="1276" w:right="820" w:bottom="851" w:left="1160" w:header="713" w:footer="942"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1ABD" w14:paraId="1E372DB1" w14:textId="77777777">
    <w:pPr>
      <w:pStyle w:val="BodyText"/>
      <w:spacing w:line="14" w:lineRule="auto"/>
      <w:rPr>
        <w:sz w:val="20"/>
      </w:rPr>
    </w:pPr>
    <w:r>
      <w:rPr>
        <w:noProof/>
        <w:lang w:eastAsia="nb-NO"/>
      </w:rPr>
      <mc:AlternateContent>
        <mc:Choice Requires="wps">
          <w:drawing>
            <wp:anchor distT="0" distB="0" distL="114300" distR="114300" simplePos="0" relativeHeight="251658240" behindDoc="1" locked="0" layoutInCell="1" allowOverlap="1">
              <wp:simplePos x="0" y="0"/>
              <wp:positionH relativeFrom="page">
                <wp:posOffset>3515360</wp:posOffset>
              </wp:positionH>
              <wp:positionV relativeFrom="page">
                <wp:posOffset>10102215</wp:posOffset>
              </wp:positionV>
              <wp:extent cx="603885" cy="153670"/>
              <wp:effectExtent l="0" t="0" r="0" b="0"/>
              <wp:wrapNone/>
              <wp:docPr id="88" name="Text Box 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3885" cy="1536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61ABD" w14:textId="3F01E2B6">
                          <w:pPr>
                            <w:spacing w:before="14"/>
                            <w:ind w:left="20"/>
                            <w:rPr>
                              <w:rFonts w:ascii="Arial"/>
                              <w:sz w:val="18"/>
                            </w:rPr>
                          </w:pPr>
                          <w:r>
                            <w:rPr>
                              <w:rFonts w:ascii="Arial"/>
                              <w:sz w:val="18"/>
                            </w:rPr>
                            <w:t xml:space="preserve">Versjon </w:t>
                          </w:r>
                          <w:r w:rsidR="00C86627">
                            <w:rPr>
                              <w:rFonts w:ascii="Arial"/>
                              <w:sz w:val="18"/>
                            </w:rPr>
                            <w:t>1.0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2049" type="#_x0000_t202" style="width:47.55pt;height:12.1pt;margin-top:795.45pt;margin-left:276.8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A61ABD" w14:paraId="13659375" w14:textId="3F01E2B6">
                    <w:pPr>
                      <w:spacing w:before="14"/>
                      <w:ind w:left="20"/>
                      <w:rPr>
                        <w:rFonts w:ascii="Arial"/>
                        <w:sz w:val="18"/>
                      </w:rPr>
                    </w:pPr>
                    <w:r>
                      <w:rPr>
                        <w:rFonts w:ascii="Arial"/>
                        <w:sz w:val="18"/>
                      </w:rPr>
                      <w:t xml:space="preserve">Versjon </w:t>
                    </w:r>
                    <w:r w:rsidR="00C86627">
                      <w:rPr>
                        <w:rFonts w:ascii="Arial"/>
                        <w:sz w:val="18"/>
                      </w:rPr>
                      <w:t>1.0</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1ABD" w14:paraId="02B2421E" w14:textId="7777777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01957801"/>
      <w:docPartObj>
        <w:docPartGallery w:val="Page Numbers (Bottom of Page)"/>
        <w:docPartUnique/>
      </w:docPartObj>
    </w:sdtPr>
    <w:sdtEndPr>
      <w:rPr>
        <w:b/>
        <w:sz w:val="24"/>
        <w:szCs w:val="24"/>
      </w:rPr>
    </w:sdtEndPr>
    <w:sdtContent>
      <w:p w:rsidR="00A61ABD" w:rsidRPr="008735A5" w14:paraId="339F20DC" w14:textId="4C76F098">
        <w:pPr>
          <w:pStyle w:val="Footer"/>
          <w:jc w:val="right"/>
          <w:rPr>
            <w:b/>
            <w:sz w:val="24"/>
            <w:szCs w:val="24"/>
          </w:rPr>
        </w:pPr>
        <w:r w:rsidRPr="008735A5">
          <w:rPr>
            <w:b/>
            <w:sz w:val="24"/>
            <w:szCs w:val="24"/>
          </w:rPr>
          <w:fldChar w:fldCharType="begin"/>
        </w:r>
        <w:r w:rsidRPr="008735A5">
          <w:rPr>
            <w:b/>
            <w:sz w:val="24"/>
            <w:szCs w:val="24"/>
          </w:rPr>
          <w:instrText>PAGE   \* MERGEFORMAT</w:instrText>
        </w:r>
        <w:r w:rsidRPr="008735A5">
          <w:rPr>
            <w:b/>
            <w:sz w:val="24"/>
            <w:szCs w:val="24"/>
          </w:rPr>
          <w:fldChar w:fldCharType="separate"/>
        </w:r>
        <w:r w:rsidR="00987581">
          <w:rPr>
            <w:b/>
            <w:noProof/>
            <w:sz w:val="24"/>
            <w:szCs w:val="24"/>
          </w:rPr>
          <w:t>11</w:t>
        </w:r>
        <w:r w:rsidRPr="008735A5">
          <w:rPr>
            <w:b/>
            <w:sz w:val="24"/>
            <w:szCs w:val="24"/>
          </w:rPr>
          <w:fldChar w:fldCharType="end"/>
        </w:r>
      </w:p>
    </w:sdtContent>
  </w:sdt>
  <w:p w:rsidR="00A61ABD" w14:paraId="7ABC71FC" w14:textId="77777777">
    <w:pPr>
      <w:pStyle w:val="BodyText"/>
      <w:spacing w:line="14" w:lineRule="auto"/>
      <w:rPr>
        <w:sz w:val="2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1ABD" w14:paraId="3C27B8C6" w14:textId="7777777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1ABD" w14:paraId="5457635C" w14:textId="77777777">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61ABD" w:rsidRPr="00F84A9D" w:rsidP="00F84A9D" w14:paraId="751169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107D5F"/>
    <w:multiLevelType w:val="hybridMultilevel"/>
    <w:tmpl w:val="40849C60"/>
    <w:lvl w:ilvl="0">
      <w:start w:val="1"/>
      <w:numFmt w:val="decimal"/>
      <w:lvlText w:val="%1."/>
      <w:lvlJc w:val="left"/>
      <w:pPr>
        <w:ind w:left="360" w:hanging="360"/>
      </w:pPr>
      <w:rPr>
        <w:rFonts w:ascii="Calibri" w:eastAsia="Calibri" w:hAnsi="Calibri" w:cs="Calibri" w:hint="default"/>
        <w:b/>
        <w:bCs/>
        <w:color w:val="00338C"/>
        <w:w w:val="100"/>
        <w:sz w:val="36"/>
        <w:szCs w:val="36"/>
      </w:rPr>
    </w:lvl>
    <w:lvl w:ilvl="1">
      <w:start w:val="1"/>
      <w:numFmt w:val="decimal"/>
      <w:lvlText w:val="%2."/>
      <w:lvlJc w:val="left"/>
      <w:pPr>
        <w:ind w:left="976" w:hanging="360"/>
      </w:pPr>
      <w:rPr>
        <w:rFonts w:ascii="Calibri" w:eastAsia="Calibri" w:hAnsi="Calibri" w:cs="Calibri" w:hint="default"/>
        <w:w w:val="100"/>
        <w:sz w:val="22"/>
        <w:szCs w:val="22"/>
      </w:rPr>
    </w:lvl>
    <w:lvl w:ilvl="2">
      <w:start w:val="0"/>
      <w:numFmt w:val="bullet"/>
      <w:lvlText w:val="•"/>
      <w:lvlJc w:val="left"/>
      <w:pPr>
        <w:ind w:left="1974" w:hanging="360"/>
      </w:pPr>
      <w:rPr>
        <w:rFonts w:hint="default"/>
      </w:rPr>
    </w:lvl>
    <w:lvl w:ilvl="3">
      <w:start w:val="0"/>
      <w:numFmt w:val="bullet"/>
      <w:lvlText w:val="•"/>
      <w:lvlJc w:val="left"/>
      <w:pPr>
        <w:ind w:left="2968" w:hanging="360"/>
      </w:pPr>
      <w:rPr>
        <w:rFonts w:hint="default"/>
      </w:rPr>
    </w:lvl>
    <w:lvl w:ilvl="4">
      <w:start w:val="0"/>
      <w:numFmt w:val="bullet"/>
      <w:lvlText w:val="•"/>
      <w:lvlJc w:val="left"/>
      <w:pPr>
        <w:ind w:left="3962" w:hanging="360"/>
      </w:pPr>
      <w:rPr>
        <w:rFonts w:hint="default"/>
      </w:rPr>
    </w:lvl>
    <w:lvl w:ilvl="5">
      <w:start w:val="0"/>
      <w:numFmt w:val="bullet"/>
      <w:lvlText w:val="•"/>
      <w:lvlJc w:val="left"/>
      <w:pPr>
        <w:ind w:left="4956" w:hanging="360"/>
      </w:pPr>
      <w:rPr>
        <w:rFonts w:hint="default"/>
      </w:rPr>
    </w:lvl>
    <w:lvl w:ilvl="6">
      <w:start w:val="0"/>
      <w:numFmt w:val="bullet"/>
      <w:lvlText w:val="•"/>
      <w:lvlJc w:val="left"/>
      <w:pPr>
        <w:ind w:left="5950" w:hanging="360"/>
      </w:pPr>
      <w:rPr>
        <w:rFonts w:hint="default"/>
      </w:rPr>
    </w:lvl>
    <w:lvl w:ilvl="7">
      <w:start w:val="0"/>
      <w:numFmt w:val="bullet"/>
      <w:lvlText w:val="•"/>
      <w:lvlJc w:val="left"/>
      <w:pPr>
        <w:ind w:left="6944" w:hanging="360"/>
      </w:pPr>
      <w:rPr>
        <w:rFonts w:hint="default"/>
      </w:rPr>
    </w:lvl>
    <w:lvl w:ilvl="8">
      <w:start w:val="0"/>
      <w:numFmt w:val="bullet"/>
      <w:lvlText w:val="•"/>
      <w:lvlJc w:val="left"/>
      <w:pPr>
        <w:ind w:left="7938" w:hanging="360"/>
      </w:pPr>
      <w:rPr>
        <w:rFonts w:hint="default"/>
      </w:rPr>
    </w:lvl>
  </w:abstractNum>
  <w:abstractNum w:abstractNumId="1">
    <w:nsid w:val="07B01080"/>
    <w:multiLevelType w:val="hybridMultilevel"/>
    <w:tmpl w:val="5574DDDC"/>
    <w:lvl w:ilvl="0">
      <w:start w:val="0"/>
      <w:numFmt w:val="bullet"/>
      <w:lvlText w:val=""/>
      <w:lvlJc w:val="left"/>
      <w:pPr>
        <w:ind w:left="976" w:hanging="360"/>
      </w:pPr>
      <w:rPr>
        <w:rFonts w:ascii="Symbol" w:eastAsia="Symbol" w:hAnsi="Symbol" w:cs="Symbol" w:hint="default"/>
        <w:w w:val="100"/>
        <w:sz w:val="22"/>
        <w:szCs w:val="22"/>
      </w:rPr>
    </w:lvl>
    <w:lvl w:ilvl="1">
      <w:start w:val="0"/>
      <w:numFmt w:val="bullet"/>
      <w:lvlText w:val=""/>
      <w:lvlJc w:val="left"/>
      <w:pPr>
        <w:ind w:left="1336" w:hanging="360"/>
      </w:pPr>
      <w:rPr>
        <w:rFonts w:ascii="Symbol" w:eastAsia="Symbol" w:hAnsi="Symbol" w:cs="Symbol" w:hint="default"/>
        <w:w w:val="100"/>
        <w:sz w:val="22"/>
        <w:szCs w:val="22"/>
      </w:rPr>
    </w:lvl>
    <w:lvl w:ilvl="2">
      <w:start w:val="0"/>
      <w:numFmt w:val="bullet"/>
      <w:lvlText w:val="•"/>
      <w:lvlJc w:val="left"/>
      <w:pPr>
        <w:ind w:left="2294" w:hanging="360"/>
      </w:pPr>
      <w:rPr>
        <w:rFonts w:hint="default"/>
      </w:rPr>
    </w:lvl>
    <w:lvl w:ilvl="3">
      <w:start w:val="0"/>
      <w:numFmt w:val="bullet"/>
      <w:lvlText w:val="•"/>
      <w:lvlJc w:val="left"/>
      <w:pPr>
        <w:ind w:left="3248" w:hanging="360"/>
      </w:pPr>
      <w:rPr>
        <w:rFonts w:hint="default"/>
      </w:rPr>
    </w:lvl>
    <w:lvl w:ilvl="4">
      <w:start w:val="0"/>
      <w:numFmt w:val="bullet"/>
      <w:lvlText w:val="•"/>
      <w:lvlJc w:val="left"/>
      <w:pPr>
        <w:ind w:left="4202" w:hanging="360"/>
      </w:pPr>
      <w:rPr>
        <w:rFonts w:hint="default"/>
      </w:rPr>
    </w:lvl>
    <w:lvl w:ilvl="5">
      <w:start w:val="0"/>
      <w:numFmt w:val="bullet"/>
      <w:lvlText w:val="•"/>
      <w:lvlJc w:val="left"/>
      <w:pPr>
        <w:ind w:left="5156" w:hanging="360"/>
      </w:pPr>
      <w:rPr>
        <w:rFonts w:hint="default"/>
      </w:rPr>
    </w:lvl>
    <w:lvl w:ilvl="6">
      <w:start w:val="0"/>
      <w:numFmt w:val="bullet"/>
      <w:lvlText w:val="•"/>
      <w:lvlJc w:val="left"/>
      <w:pPr>
        <w:ind w:left="6110" w:hanging="360"/>
      </w:pPr>
      <w:rPr>
        <w:rFonts w:hint="default"/>
      </w:rPr>
    </w:lvl>
    <w:lvl w:ilvl="7">
      <w:start w:val="0"/>
      <w:numFmt w:val="bullet"/>
      <w:lvlText w:val="•"/>
      <w:lvlJc w:val="left"/>
      <w:pPr>
        <w:ind w:left="7064" w:hanging="360"/>
      </w:pPr>
      <w:rPr>
        <w:rFonts w:hint="default"/>
      </w:rPr>
    </w:lvl>
    <w:lvl w:ilvl="8">
      <w:start w:val="0"/>
      <w:numFmt w:val="bullet"/>
      <w:lvlText w:val="•"/>
      <w:lvlJc w:val="left"/>
      <w:pPr>
        <w:ind w:left="8018" w:hanging="360"/>
      </w:pPr>
      <w:rPr>
        <w:rFonts w:hint="default"/>
      </w:rPr>
    </w:lvl>
  </w:abstractNum>
  <w:abstractNum w:abstractNumId="2">
    <w:nsid w:val="082641E9"/>
    <w:multiLevelType w:val="hybridMultilevel"/>
    <w:tmpl w:val="12C42C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A1B4BE7"/>
    <w:multiLevelType w:val="multilevel"/>
    <w:tmpl w:val="CF94128C"/>
    <w:lvl w:ilvl="0">
      <w:start w:val="1"/>
      <w:numFmt w:val="decimal"/>
      <w:lvlText w:val="%1."/>
      <w:lvlJc w:val="left"/>
      <w:pPr>
        <w:ind w:left="616" w:hanging="360"/>
      </w:pPr>
    </w:lvl>
    <w:lvl w:ilvl="1">
      <w:start w:val="1"/>
      <w:numFmt w:val="decimal"/>
      <w:isLgl/>
      <w:lvlText w:val="%1.%2"/>
      <w:lvlJc w:val="left"/>
      <w:pPr>
        <w:ind w:left="616" w:hanging="360"/>
      </w:pPr>
      <w:rPr>
        <w:rFonts w:hint="default"/>
      </w:rPr>
    </w:lvl>
    <w:lvl w:ilvl="2">
      <w:start w:val="1"/>
      <w:numFmt w:val="decimal"/>
      <w:isLgl/>
      <w:lvlText w:val="%1.%2.%3"/>
      <w:lvlJc w:val="left"/>
      <w:pPr>
        <w:ind w:left="976" w:hanging="720"/>
      </w:pPr>
      <w:rPr>
        <w:rFonts w:hint="default"/>
      </w:rPr>
    </w:lvl>
    <w:lvl w:ilvl="3">
      <w:start w:val="1"/>
      <w:numFmt w:val="decimal"/>
      <w:isLgl/>
      <w:lvlText w:val="%1.%2.%3.%4"/>
      <w:lvlJc w:val="left"/>
      <w:pPr>
        <w:ind w:left="1336" w:hanging="1080"/>
      </w:pPr>
      <w:rPr>
        <w:rFonts w:hint="default"/>
      </w:rPr>
    </w:lvl>
    <w:lvl w:ilvl="4">
      <w:start w:val="1"/>
      <w:numFmt w:val="decimal"/>
      <w:isLgl/>
      <w:lvlText w:val="%1.%2.%3.%4.%5"/>
      <w:lvlJc w:val="left"/>
      <w:pPr>
        <w:ind w:left="1336" w:hanging="1080"/>
      </w:pPr>
      <w:rPr>
        <w:rFonts w:hint="default"/>
      </w:rPr>
    </w:lvl>
    <w:lvl w:ilvl="5">
      <w:start w:val="1"/>
      <w:numFmt w:val="decimal"/>
      <w:isLgl/>
      <w:lvlText w:val="%1.%2.%3.%4.%5.%6"/>
      <w:lvlJc w:val="left"/>
      <w:pPr>
        <w:ind w:left="1696" w:hanging="1440"/>
      </w:pPr>
      <w:rPr>
        <w:rFonts w:hint="default"/>
      </w:rPr>
    </w:lvl>
    <w:lvl w:ilvl="6">
      <w:start w:val="1"/>
      <w:numFmt w:val="decimal"/>
      <w:isLgl/>
      <w:lvlText w:val="%1.%2.%3.%4.%5.%6.%7"/>
      <w:lvlJc w:val="left"/>
      <w:pPr>
        <w:ind w:left="1696" w:hanging="1440"/>
      </w:pPr>
      <w:rPr>
        <w:rFonts w:hint="default"/>
      </w:rPr>
    </w:lvl>
    <w:lvl w:ilvl="7">
      <w:start w:val="1"/>
      <w:numFmt w:val="decimal"/>
      <w:isLgl/>
      <w:lvlText w:val="%1.%2.%3.%4.%5.%6.%7.%8"/>
      <w:lvlJc w:val="left"/>
      <w:pPr>
        <w:ind w:left="2056" w:hanging="1800"/>
      </w:pPr>
      <w:rPr>
        <w:rFonts w:hint="default"/>
      </w:rPr>
    </w:lvl>
    <w:lvl w:ilvl="8">
      <w:start w:val="1"/>
      <w:numFmt w:val="decimal"/>
      <w:isLgl/>
      <w:lvlText w:val="%1.%2.%3.%4.%5.%6.%7.%8.%9"/>
      <w:lvlJc w:val="left"/>
      <w:pPr>
        <w:ind w:left="2416" w:hanging="2160"/>
      </w:pPr>
      <w:rPr>
        <w:rFonts w:hint="default"/>
      </w:rPr>
    </w:lvl>
  </w:abstractNum>
  <w:abstractNum w:abstractNumId="4">
    <w:nsid w:val="10CA3E83"/>
    <w:multiLevelType w:val="hybridMultilevel"/>
    <w:tmpl w:val="C1DCB8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10B7884"/>
    <w:multiLevelType w:val="hybridMultilevel"/>
    <w:tmpl w:val="5080940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3B6D12"/>
    <w:multiLevelType w:val="hybridMultilevel"/>
    <w:tmpl w:val="54FE260C"/>
    <w:lvl w:ilvl="0">
      <w:start w:val="0"/>
      <w:numFmt w:val="bullet"/>
      <w:lvlText w:val="-"/>
      <w:lvlJc w:val="left"/>
      <w:pPr>
        <w:ind w:left="720" w:hanging="360"/>
      </w:pPr>
      <w:rPr>
        <w:rFonts w:ascii="Calibri" w:hAnsi="Calibri"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D881062"/>
    <w:multiLevelType w:val="hybridMultilevel"/>
    <w:tmpl w:val="78803F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F2D300C"/>
    <w:multiLevelType w:val="hybridMultilevel"/>
    <w:tmpl w:val="0FA0D7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6292E81"/>
    <w:multiLevelType w:val="hybridMultilevel"/>
    <w:tmpl w:val="923EC2D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84D5CF8"/>
    <w:multiLevelType w:val="hybridMultilevel"/>
    <w:tmpl w:val="A568FEF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8ED399B"/>
    <w:multiLevelType w:val="hybridMultilevel"/>
    <w:tmpl w:val="5A26E48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95F5848"/>
    <w:multiLevelType w:val="multilevel"/>
    <w:tmpl w:val="8D928582"/>
    <w:lvl w:ilvl="0">
      <w:start w:val="5"/>
      <w:numFmt w:val="decimal"/>
      <w:lvlText w:val="%1"/>
      <w:lvlJc w:val="left"/>
      <w:pPr>
        <w:ind w:left="1672" w:hanging="850"/>
      </w:pPr>
      <w:rPr>
        <w:rFonts w:hint="default"/>
      </w:rPr>
    </w:lvl>
    <w:lvl w:ilvl="1">
      <w:start w:val="1"/>
      <w:numFmt w:val="decimal"/>
      <w:lvlText w:val="%1.%2."/>
      <w:lvlJc w:val="left"/>
      <w:pPr>
        <w:ind w:left="1418" w:hanging="850"/>
      </w:pPr>
      <w:rPr>
        <w:rFonts w:ascii="Calibri" w:eastAsia="Calibri" w:hAnsi="Calibri" w:cs="Calibri" w:hint="default"/>
        <w:b/>
        <w:bCs/>
        <w:color w:val="00338C"/>
        <w:spacing w:val="-2"/>
        <w:w w:val="100"/>
        <w:sz w:val="28"/>
        <w:szCs w:val="28"/>
      </w:rPr>
    </w:lvl>
    <w:lvl w:ilvl="2">
      <w:start w:val="0"/>
      <w:numFmt w:val="bullet"/>
      <w:lvlText w:val="•"/>
      <w:lvlJc w:val="left"/>
      <w:pPr>
        <w:ind w:left="3329" w:hanging="850"/>
      </w:pPr>
      <w:rPr>
        <w:rFonts w:hint="default"/>
      </w:rPr>
    </w:lvl>
    <w:lvl w:ilvl="3">
      <w:start w:val="0"/>
      <w:numFmt w:val="bullet"/>
      <w:lvlText w:val="•"/>
      <w:lvlJc w:val="left"/>
      <w:pPr>
        <w:ind w:left="4153" w:hanging="850"/>
      </w:pPr>
      <w:rPr>
        <w:rFonts w:hint="default"/>
      </w:rPr>
    </w:lvl>
    <w:lvl w:ilvl="4">
      <w:start w:val="0"/>
      <w:numFmt w:val="bullet"/>
      <w:lvlText w:val="•"/>
      <w:lvlJc w:val="left"/>
      <w:pPr>
        <w:ind w:left="4978" w:hanging="850"/>
      </w:pPr>
      <w:rPr>
        <w:rFonts w:hint="default"/>
      </w:rPr>
    </w:lvl>
    <w:lvl w:ilvl="5">
      <w:start w:val="0"/>
      <w:numFmt w:val="bullet"/>
      <w:lvlText w:val="•"/>
      <w:lvlJc w:val="left"/>
      <w:pPr>
        <w:ind w:left="5803" w:hanging="850"/>
      </w:pPr>
      <w:rPr>
        <w:rFonts w:hint="default"/>
      </w:rPr>
    </w:lvl>
    <w:lvl w:ilvl="6">
      <w:start w:val="0"/>
      <w:numFmt w:val="bullet"/>
      <w:lvlText w:val="•"/>
      <w:lvlJc w:val="left"/>
      <w:pPr>
        <w:ind w:left="6627" w:hanging="850"/>
      </w:pPr>
      <w:rPr>
        <w:rFonts w:hint="default"/>
      </w:rPr>
    </w:lvl>
    <w:lvl w:ilvl="7">
      <w:start w:val="0"/>
      <w:numFmt w:val="bullet"/>
      <w:lvlText w:val="•"/>
      <w:lvlJc w:val="left"/>
      <w:pPr>
        <w:ind w:left="7452" w:hanging="850"/>
      </w:pPr>
      <w:rPr>
        <w:rFonts w:hint="default"/>
      </w:rPr>
    </w:lvl>
    <w:lvl w:ilvl="8">
      <w:start w:val="0"/>
      <w:numFmt w:val="bullet"/>
      <w:lvlText w:val="•"/>
      <w:lvlJc w:val="left"/>
      <w:pPr>
        <w:ind w:left="8277" w:hanging="850"/>
      </w:pPr>
      <w:rPr>
        <w:rFonts w:hint="default"/>
      </w:rPr>
    </w:lvl>
  </w:abstractNum>
  <w:abstractNum w:abstractNumId="13">
    <w:nsid w:val="33BF5B95"/>
    <w:multiLevelType w:val="multilevel"/>
    <w:tmpl w:val="5C022DD8"/>
    <w:lvl w:ilvl="0">
      <w:start w:val="1"/>
      <w:numFmt w:val="decimal"/>
      <w:lvlText w:val="%1."/>
      <w:lvlJc w:val="left"/>
      <w:pPr>
        <w:ind w:left="695" w:hanging="440"/>
      </w:pPr>
      <w:rPr>
        <w:rFonts w:ascii="Calibri" w:eastAsia="Calibri" w:hAnsi="Calibri" w:cs="Calibri" w:hint="default"/>
        <w:w w:val="100"/>
        <w:sz w:val="22"/>
        <w:szCs w:val="22"/>
      </w:rPr>
    </w:lvl>
    <w:lvl w:ilvl="1">
      <w:start w:val="1"/>
      <w:numFmt w:val="decimal"/>
      <w:lvlText w:val="%1.%2."/>
      <w:lvlJc w:val="left"/>
      <w:pPr>
        <w:ind w:left="1136" w:hanging="660"/>
      </w:pPr>
      <w:rPr>
        <w:rFonts w:ascii="Calibri" w:eastAsia="Calibri" w:hAnsi="Calibri" w:cs="Calibri" w:hint="default"/>
        <w:w w:val="100"/>
        <w:sz w:val="22"/>
        <w:szCs w:val="22"/>
      </w:rPr>
    </w:lvl>
    <w:lvl w:ilvl="2">
      <w:start w:val="0"/>
      <w:numFmt w:val="bullet"/>
      <w:lvlText w:val="•"/>
      <w:lvlJc w:val="left"/>
      <w:pPr>
        <w:ind w:left="2116" w:hanging="660"/>
      </w:pPr>
      <w:rPr>
        <w:rFonts w:hint="default"/>
      </w:rPr>
    </w:lvl>
    <w:lvl w:ilvl="3">
      <w:start w:val="0"/>
      <w:numFmt w:val="bullet"/>
      <w:lvlText w:val="•"/>
      <w:lvlJc w:val="left"/>
      <w:pPr>
        <w:ind w:left="3092" w:hanging="660"/>
      </w:pPr>
      <w:rPr>
        <w:rFonts w:hint="default"/>
      </w:rPr>
    </w:lvl>
    <w:lvl w:ilvl="4">
      <w:start w:val="0"/>
      <w:numFmt w:val="bullet"/>
      <w:lvlText w:val="•"/>
      <w:lvlJc w:val="left"/>
      <w:pPr>
        <w:ind w:left="4068" w:hanging="660"/>
      </w:pPr>
      <w:rPr>
        <w:rFonts w:hint="default"/>
      </w:rPr>
    </w:lvl>
    <w:lvl w:ilvl="5">
      <w:start w:val="0"/>
      <w:numFmt w:val="bullet"/>
      <w:lvlText w:val="•"/>
      <w:lvlJc w:val="left"/>
      <w:pPr>
        <w:ind w:left="5045" w:hanging="660"/>
      </w:pPr>
      <w:rPr>
        <w:rFonts w:hint="default"/>
      </w:rPr>
    </w:lvl>
    <w:lvl w:ilvl="6">
      <w:start w:val="0"/>
      <w:numFmt w:val="bullet"/>
      <w:lvlText w:val="•"/>
      <w:lvlJc w:val="left"/>
      <w:pPr>
        <w:ind w:left="6021" w:hanging="660"/>
      </w:pPr>
      <w:rPr>
        <w:rFonts w:hint="default"/>
      </w:rPr>
    </w:lvl>
    <w:lvl w:ilvl="7">
      <w:start w:val="0"/>
      <w:numFmt w:val="bullet"/>
      <w:lvlText w:val="•"/>
      <w:lvlJc w:val="left"/>
      <w:pPr>
        <w:ind w:left="6997" w:hanging="660"/>
      </w:pPr>
      <w:rPr>
        <w:rFonts w:hint="default"/>
      </w:rPr>
    </w:lvl>
    <w:lvl w:ilvl="8">
      <w:start w:val="0"/>
      <w:numFmt w:val="bullet"/>
      <w:lvlText w:val="•"/>
      <w:lvlJc w:val="left"/>
      <w:pPr>
        <w:ind w:left="7973" w:hanging="660"/>
      </w:pPr>
      <w:rPr>
        <w:rFonts w:hint="default"/>
      </w:rPr>
    </w:lvl>
  </w:abstractNum>
  <w:abstractNum w:abstractNumId="14">
    <w:nsid w:val="36842469"/>
    <w:multiLevelType w:val="hybridMultilevel"/>
    <w:tmpl w:val="FDFEC3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6E40CE8"/>
    <w:multiLevelType w:val="hybridMultilevel"/>
    <w:tmpl w:val="B1CA2102"/>
    <w:lvl w:ilvl="0">
      <w:start w:val="0"/>
      <w:numFmt w:val="bullet"/>
      <w:lvlText w:val="-"/>
      <w:lvlJc w:val="left"/>
      <w:pPr>
        <w:ind w:left="720" w:hanging="360"/>
      </w:pPr>
      <w:rPr>
        <w:rFonts w:ascii="Calibri" w:hAnsi="Calibri"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81E223D"/>
    <w:multiLevelType w:val="hybridMultilevel"/>
    <w:tmpl w:val="DCDA15D2"/>
    <w:lvl w:ilvl="0">
      <w:start w:val="0"/>
      <w:numFmt w:val="bullet"/>
      <w:lvlText w:val="-"/>
      <w:lvlJc w:val="left"/>
      <w:pPr>
        <w:ind w:left="644" w:hanging="360"/>
      </w:pPr>
      <w:rPr>
        <w:rFonts w:ascii="Calibri" w:hAnsi="Calibri" w:eastAsiaTheme="minorHAnsi"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17">
    <w:nsid w:val="40570C9E"/>
    <w:multiLevelType w:val="hybridMultilevel"/>
    <w:tmpl w:val="756C53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2E22A07"/>
    <w:multiLevelType w:val="hybridMultilevel"/>
    <w:tmpl w:val="EDE641C2"/>
    <w:lvl w:ilvl="0">
      <w:start w:val="0"/>
      <w:numFmt w:val="bullet"/>
      <w:lvlText w:val=""/>
      <w:lvlJc w:val="left"/>
      <w:pPr>
        <w:ind w:left="976" w:hanging="360"/>
      </w:pPr>
      <w:rPr>
        <w:rFonts w:ascii="Symbol" w:eastAsia="Symbol" w:hAnsi="Symbol" w:cs="Symbol" w:hint="default"/>
        <w:w w:val="100"/>
        <w:sz w:val="22"/>
        <w:szCs w:val="22"/>
      </w:rPr>
    </w:lvl>
    <w:lvl w:ilvl="1">
      <w:start w:val="0"/>
      <w:numFmt w:val="bullet"/>
      <w:lvlText w:val="o"/>
      <w:lvlJc w:val="left"/>
      <w:pPr>
        <w:ind w:left="1696" w:hanging="360"/>
      </w:pPr>
      <w:rPr>
        <w:rFonts w:ascii="Courier New" w:eastAsia="Courier New" w:hAnsi="Courier New" w:cs="Courier New" w:hint="default"/>
        <w:w w:val="100"/>
        <w:sz w:val="22"/>
        <w:szCs w:val="22"/>
      </w:rPr>
    </w:lvl>
    <w:lvl w:ilvl="2">
      <w:start w:val="0"/>
      <w:numFmt w:val="bullet"/>
      <w:lvlText w:val=""/>
      <w:lvlJc w:val="left"/>
      <w:pPr>
        <w:ind w:left="2416" w:hanging="360"/>
      </w:pPr>
      <w:rPr>
        <w:rFonts w:ascii="Wingdings" w:eastAsia="Wingdings" w:hAnsi="Wingdings" w:cs="Wingdings" w:hint="default"/>
        <w:w w:val="100"/>
        <w:sz w:val="22"/>
        <w:szCs w:val="22"/>
      </w:rPr>
    </w:lvl>
    <w:lvl w:ilvl="3">
      <w:start w:val="0"/>
      <w:numFmt w:val="bullet"/>
      <w:lvlText w:val="•"/>
      <w:lvlJc w:val="left"/>
      <w:pPr>
        <w:ind w:left="3358" w:hanging="360"/>
      </w:pPr>
      <w:rPr>
        <w:rFonts w:hint="default"/>
      </w:rPr>
    </w:lvl>
    <w:lvl w:ilvl="4">
      <w:start w:val="0"/>
      <w:numFmt w:val="bullet"/>
      <w:lvlText w:val="•"/>
      <w:lvlJc w:val="left"/>
      <w:pPr>
        <w:ind w:left="4296" w:hanging="360"/>
      </w:pPr>
      <w:rPr>
        <w:rFonts w:hint="default"/>
      </w:rPr>
    </w:lvl>
    <w:lvl w:ilvl="5">
      <w:start w:val="0"/>
      <w:numFmt w:val="bullet"/>
      <w:lvlText w:val="•"/>
      <w:lvlJc w:val="left"/>
      <w:pPr>
        <w:ind w:left="5234" w:hanging="360"/>
      </w:pPr>
      <w:rPr>
        <w:rFonts w:hint="default"/>
      </w:rPr>
    </w:lvl>
    <w:lvl w:ilvl="6">
      <w:start w:val="0"/>
      <w:numFmt w:val="bullet"/>
      <w:lvlText w:val="•"/>
      <w:lvlJc w:val="left"/>
      <w:pPr>
        <w:ind w:left="6173" w:hanging="360"/>
      </w:pPr>
      <w:rPr>
        <w:rFonts w:hint="default"/>
      </w:rPr>
    </w:lvl>
    <w:lvl w:ilvl="7">
      <w:start w:val="0"/>
      <w:numFmt w:val="bullet"/>
      <w:lvlText w:val="•"/>
      <w:lvlJc w:val="left"/>
      <w:pPr>
        <w:ind w:left="7111" w:hanging="360"/>
      </w:pPr>
      <w:rPr>
        <w:rFonts w:hint="default"/>
      </w:rPr>
    </w:lvl>
    <w:lvl w:ilvl="8">
      <w:start w:val="0"/>
      <w:numFmt w:val="bullet"/>
      <w:lvlText w:val="•"/>
      <w:lvlJc w:val="left"/>
      <w:pPr>
        <w:ind w:left="8049" w:hanging="360"/>
      </w:pPr>
      <w:rPr>
        <w:rFonts w:hint="default"/>
      </w:rPr>
    </w:lvl>
  </w:abstractNum>
  <w:abstractNum w:abstractNumId="19">
    <w:nsid w:val="499A4C8A"/>
    <w:multiLevelType w:val="multilevel"/>
    <w:tmpl w:val="CF94128C"/>
    <w:lvl w:ilvl="0">
      <w:start w:val="1"/>
      <w:numFmt w:val="decimal"/>
      <w:lvlText w:val="%1."/>
      <w:lvlJc w:val="left"/>
      <w:pPr>
        <w:ind w:left="616" w:hanging="360"/>
      </w:pPr>
    </w:lvl>
    <w:lvl w:ilvl="1">
      <w:start w:val="1"/>
      <w:numFmt w:val="decimal"/>
      <w:isLgl/>
      <w:lvlText w:val="%1.%2"/>
      <w:lvlJc w:val="left"/>
      <w:pPr>
        <w:ind w:left="616" w:hanging="360"/>
      </w:pPr>
      <w:rPr>
        <w:rFonts w:hint="default"/>
      </w:rPr>
    </w:lvl>
    <w:lvl w:ilvl="2">
      <w:start w:val="1"/>
      <w:numFmt w:val="decimal"/>
      <w:isLgl/>
      <w:lvlText w:val="%1.%2.%3"/>
      <w:lvlJc w:val="left"/>
      <w:pPr>
        <w:ind w:left="976" w:hanging="720"/>
      </w:pPr>
      <w:rPr>
        <w:rFonts w:hint="default"/>
      </w:rPr>
    </w:lvl>
    <w:lvl w:ilvl="3">
      <w:start w:val="1"/>
      <w:numFmt w:val="decimal"/>
      <w:isLgl/>
      <w:lvlText w:val="%1.%2.%3.%4"/>
      <w:lvlJc w:val="left"/>
      <w:pPr>
        <w:ind w:left="1336" w:hanging="1080"/>
      </w:pPr>
      <w:rPr>
        <w:rFonts w:hint="default"/>
      </w:rPr>
    </w:lvl>
    <w:lvl w:ilvl="4">
      <w:start w:val="1"/>
      <w:numFmt w:val="decimal"/>
      <w:isLgl/>
      <w:lvlText w:val="%1.%2.%3.%4.%5"/>
      <w:lvlJc w:val="left"/>
      <w:pPr>
        <w:ind w:left="1336" w:hanging="1080"/>
      </w:pPr>
      <w:rPr>
        <w:rFonts w:hint="default"/>
      </w:rPr>
    </w:lvl>
    <w:lvl w:ilvl="5">
      <w:start w:val="1"/>
      <w:numFmt w:val="decimal"/>
      <w:isLgl/>
      <w:lvlText w:val="%1.%2.%3.%4.%5.%6"/>
      <w:lvlJc w:val="left"/>
      <w:pPr>
        <w:ind w:left="1696" w:hanging="1440"/>
      </w:pPr>
      <w:rPr>
        <w:rFonts w:hint="default"/>
      </w:rPr>
    </w:lvl>
    <w:lvl w:ilvl="6">
      <w:start w:val="1"/>
      <w:numFmt w:val="decimal"/>
      <w:isLgl/>
      <w:lvlText w:val="%1.%2.%3.%4.%5.%6.%7"/>
      <w:lvlJc w:val="left"/>
      <w:pPr>
        <w:ind w:left="1696" w:hanging="1440"/>
      </w:pPr>
      <w:rPr>
        <w:rFonts w:hint="default"/>
      </w:rPr>
    </w:lvl>
    <w:lvl w:ilvl="7">
      <w:start w:val="1"/>
      <w:numFmt w:val="decimal"/>
      <w:isLgl/>
      <w:lvlText w:val="%1.%2.%3.%4.%5.%6.%7.%8"/>
      <w:lvlJc w:val="left"/>
      <w:pPr>
        <w:ind w:left="2056" w:hanging="1800"/>
      </w:pPr>
      <w:rPr>
        <w:rFonts w:hint="default"/>
      </w:rPr>
    </w:lvl>
    <w:lvl w:ilvl="8">
      <w:start w:val="1"/>
      <w:numFmt w:val="decimal"/>
      <w:isLgl/>
      <w:lvlText w:val="%1.%2.%3.%4.%5.%6.%7.%8.%9"/>
      <w:lvlJc w:val="left"/>
      <w:pPr>
        <w:ind w:left="2416" w:hanging="2160"/>
      </w:pPr>
      <w:rPr>
        <w:rFonts w:hint="default"/>
      </w:rPr>
    </w:lvl>
  </w:abstractNum>
  <w:abstractNum w:abstractNumId="20">
    <w:nsid w:val="4D77160E"/>
    <w:multiLevelType w:val="hybridMultilevel"/>
    <w:tmpl w:val="9E8E18E2"/>
    <w:lvl w:ilvl="0">
      <w:start w:val="0"/>
      <w:numFmt w:val="bullet"/>
      <w:lvlText w:val="-"/>
      <w:lvlJc w:val="left"/>
      <w:pPr>
        <w:ind w:left="720" w:hanging="360"/>
      </w:pPr>
      <w:rPr>
        <w:rFonts w:ascii="Calibri" w:hAnsi="Calibri"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4E6A6EC6"/>
    <w:multiLevelType w:val="hybridMultilevel"/>
    <w:tmpl w:val="B31855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EE023F4"/>
    <w:multiLevelType w:val="multilevel"/>
    <w:tmpl w:val="1D221D9E"/>
    <w:lvl w:ilvl="0">
      <w:start w:val="4"/>
      <w:numFmt w:val="decimal"/>
      <w:lvlText w:val="%1"/>
      <w:lvlJc w:val="left"/>
      <w:pPr>
        <w:ind w:left="1672" w:hanging="850"/>
      </w:pPr>
      <w:rPr>
        <w:rFonts w:hint="default"/>
      </w:rPr>
    </w:lvl>
    <w:lvl w:ilvl="1">
      <w:start w:val="1"/>
      <w:numFmt w:val="decimal"/>
      <w:lvlText w:val="%1.%2."/>
      <w:lvlJc w:val="left"/>
      <w:pPr>
        <w:ind w:left="1672" w:hanging="850"/>
      </w:pPr>
      <w:rPr>
        <w:rFonts w:ascii="Calibri" w:eastAsia="Calibri" w:hAnsi="Calibri" w:cs="Calibri" w:hint="default"/>
        <w:b/>
        <w:bCs/>
        <w:color w:val="00338C"/>
        <w:spacing w:val="-2"/>
        <w:w w:val="100"/>
        <w:sz w:val="28"/>
        <w:szCs w:val="28"/>
      </w:rPr>
    </w:lvl>
    <w:lvl w:ilvl="2">
      <w:start w:val="0"/>
      <w:numFmt w:val="bullet"/>
      <w:lvlText w:val="•"/>
      <w:lvlJc w:val="left"/>
      <w:pPr>
        <w:ind w:left="3329" w:hanging="850"/>
      </w:pPr>
      <w:rPr>
        <w:rFonts w:hint="default"/>
      </w:rPr>
    </w:lvl>
    <w:lvl w:ilvl="3">
      <w:start w:val="0"/>
      <w:numFmt w:val="bullet"/>
      <w:lvlText w:val="•"/>
      <w:lvlJc w:val="left"/>
      <w:pPr>
        <w:ind w:left="4153" w:hanging="850"/>
      </w:pPr>
      <w:rPr>
        <w:rFonts w:hint="default"/>
      </w:rPr>
    </w:lvl>
    <w:lvl w:ilvl="4">
      <w:start w:val="0"/>
      <w:numFmt w:val="bullet"/>
      <w:lvlText w:val="•"/>
      <w:lvlJc w:val="left"/>
      <w:pPr>
        <w:ind w:left="4978" w:hanging="850"/>
      </w:pPr>
      <w:rPr>
        <w:rFonts w:hint="default"/>
      </w:rPr>
    </w:lvl>
    <w:lvl w:ilvl="5">
      <w:start w:val="0"/>
      <w:numFmt w:val="bullet"/>
      <w:lvlText w:val="•"/>
      <w:lvlJc w:val="left"/>
      <w:pPr>
        <w:ind w:left="5803" w:hanging="850"/>
      </w:pPr>
      <w:rPr>
        <w:rFonts w:hint="default"/>
      </w:rPr>
    </w:lvl>
    <w:lvl w:ilvl="6">
      <w:start w:val="0"/>
      <w:numFmt w:val="bullet"/>
      <w:lvlText w:val="•"/>
      <w:lvlJc w:val="left"/>
      <w:pPr>
        <w:ind w:left="6627" w:hanging="850"/>
      </w:pPr>
      <w:rPr>
        <w:rFonts w:hint="default"/>
      </w:rPr>
    </w:lvl>
    <w:lvl w:ilvl="7">
      <w:start w:val="0"/>
      <w:numFmt w:val="bullet"/>
      <w:lvlText w:val="•"/>
      <w:lvlJc w:val="left"/>
      <w:pPr>
        <w:ind w:left="7452" w:hanging="850"/>
      </w:pPr>
      <w:rPr>
        <w:rFonts w:hint="default"/>
      </w:rPr>
    </w:lvl>
    <w:lvl w:ilvl="8">
      <w:start w:val="0"/>
      <w:numFmt w:val="bullet"/>
      <w:lvlText w:val="•"/>
      <w:lvlJc w:val="left"/>
      <w:pPr>
        <w:ind w:left="8277" w:hanging="850"/>
      </w:pPr>
      <w:rPr>
        <w:rFonts w:hint="default"/>
      </w:rPr>
    </w:lvl>
  </w:abstractNum>
  <w:abstractNum w:abstractNumId="23">
    <w:nsid w:val="507A0F94"/>
    <w:multiLevelType w:val="multilevel"/>
    <w:tmpl w:val="BD0AC5F0"/>
    <w:lvl w:ilvl="0">
      <w:start w:val="1"/>
      <w:numFmt w:val="decimal"/>
      <w:lvlText w:val="%1."/>
      <w:lvlJc w:val="left"/>
      <w:pPr>
        <w:ind w:left="616" w:hanging="360"/>
      </w:pPr>
    </w:lvl>
    <w:lvl w:ilvl="1">
      <w:start w:val="1"/>
      <w:numFmt w:val="decimal"/>
      <w:isLgl/>
      <w:lvlText w:val="%1.%2"/>
      <w:lvlJc w:val="left"/>
      <w:pPr>
        <w:ind w:left="616" w:hanging="360"/>
      </w:pPr>
      <w:rPr>
        <w:rFonts w:hint="default"/>
      </w:rPr>
    </w:lvl>
    <w:lvl w:ilvl="2">
      <w:start w:val="1"/>
      <w:numFmt w:val="decimal"/>
      <w:isLgl/>
      <w:lvlText w:val="%1.%2.%3"/>
      <w:lvlJc w:val="left"/>
      <w:pPr>
        <w:ind w:left="976" w:hanging="720"/>
      </w:pPr>
      <w:rPr>
        <w:rFonts w:hint="default"/>
      </w:rPr>
    </w:lvl>
    <w:lvl w:ilvl="3">
      <w:start w:val="1"/>
      <w:numFmt w:val="decimal"/>
      <w:isLgl/>
      <w:lvlText w:val="%1.%2.%3.%4"/>
      <w:lvlJc w:val="left"/>
      <w:pPr>
        <w:ind w:left="1336" w:hanging="1080"/>
      </w:pPr>
      <w:rPr>
        <w:rFonts w:hint="default"/>
      </w:rPr>
    </w:lvl>
    <w:lvl w:ilvl="4">
      <w:start w:val="1"/>
      <w:numFmt w:val="decimal"/>
      <w:isLgl/>
      <w:lvlText w:val="%1.%2.%3.%4.%5"/>
      <w:lvlJc w:val="left"/>
      <w:pPr>
        <w:ind w:left="1336" w:hanging="1080"/>
      </w:pPr>
      <w:rPr>
        <w:rFonts w:hint="default"/>
      </w:rPr>
    </w:lvl>
    <w:lvl w:ilvl="5">
      <w:start w:val="1"/>
      <w:numFmt w:val="decimal"/>
      <w:isLgl/>
      <w:lvlText w:val="%1.%2.%3.%4.%5.%6"/>
      <w:lvlJc w:val="left"/>
      <w:pPr>
        <w:ind w:left="1696" w:hanging="1440"/>
      </w:pPr>
      <w:rPr>
        <w:rFonts w:hint="default"/>
      </w:rPr>
    </w:lvl>
    <w:lvl w:ilvl="6">
      <w:start w:val="1"/>
      <w:numFmt w:val="decimal"/>
      <w:isLgl/>
      <w:lvlText w:val="%1.%2.%3.%4.%5.%6.%7"/>
      <w:lvlJc w:val="left"/>
      <w:pPr>
        <w:ind w:left="1696" w:hanging="1440"/>
      </w:pPr>
      <w:rPr>
        <w:rFonts w:hint="default"/>
      </w:rPr>
    </w:lvl>
    <w:lvl w:ilvl="7">
      <w:start w:val="1"/>
      <w:numFmt w:val="decimal"/>
      <w:isLgl/>
      <w:lvlText w:val="%1.%2.%3.%4.%5.%6.%7.%8"/>
      <w:lvlJc w:val="left"/>
      <w:pPr>
        <w:ind w:left="2056" w:hanging="1800"/>
      </w:pPr>
      <w:rPr>
        <w:rFonts w:hint="default"/>
      </w:rPr>
    </w:lvl>
    <w:lvl w:ilvl="8">
      <w:start w:val="1"/>
      <w:numFmt w:val="decimal"/>
      <w:isLgl/>
      <w:lvlText w:val="%1.%2.%3.%4.%5.%6.%7.%8.%9"/>
      <w:lvlJc w:val="left"/>
      <w:pPr>
        <w:ind w:left="2416" w:hanging="2160"/>
      </w:pPr>
      <w:rPr>
        <w:rFonts w:hint="default"/>
      </w:rPr>
    </w:lvl>
  </w:abstractNum>
  <w:abstractNum w:abstractNumId="24">
    <w:nsid w:val="55BA0BE8"/>
    <w:multiLevelType w:val="hybridMultilevel"/>
    <w:tmpl w:val="C8A4D694"/>
    <w:lvl w:ilvl="0">
      <w:start w:val="0"/>
      <w:numFmt w:val="bullet"/>
      <w:lvlText w:val=""/>
      <w:lvlJc w:val="left"/>
      <w:pPr>
        <w:ind w:left="976" w:hanging="360"/>
      </w:pPr>
      <w:rPr>
        <w:rFonts w:ascii="Symbol" w:eastAsia="Symbol" w:hAnsi="Symbol" w:cs="Symbol" w:hint="default"/>
        <w:w w:val="100"/>
        <w:sz w:val="22"/>
        <w:szCs w:val="22"/>
      </w:rPr>
    </w:lvl>
    <w:lvl w:ilvl="1">
      <w:start w:val="0"/>
      <w:numFmt w:val="bullet"/>
      <w:lvlText w:val="•"/>
      <w:lvlJc w:val="left"/>
      <w:pPr>
        <w:ind w:left="1874" w:hanging="360"/>
      </w:pPr>
      <w:rPr>
        <w:rFonts w:hint="default"/>
      </w:rPr>
    </w:lvl>
    <w:lvl w:ilvl="2">
      <w:start w:val="0"/>
      <w:numFmt w:val="bullet"/>
      <w:lvlText w:val="•"/>
      <w:lvlJc w:val="left"/>
      <w:pPr>
        <w:ind w:left="2769" w:hanging="360"/>
      </w:pPr>
      <w:rPr>
        <w:rFonts w:hint="default"/>
      </w:rPr>
    </w:lvl>
    <w:lvl w:ilvl="3">
      <w:start w:val="0"/>
      <w:numFmt w:val="bullet"/>
      <w:lvlText w:val="•"/>
      <w:lvlJc w:val="left"/>
      <w:pPr>
        <w:ind w:left="3663" w:hanging="360"/>
      </w:pPr>
      <w:rPr>
        <w:rFonts w:hint="default"/>
      </w:rPr>
    </w:lvl>
    <w:lvl w:ilvl="4">
      <w:start w:val="0"/>
      <w:numFmt w:val="bullet"/>
      <w:lvlText w:val="•"/>
      <w:lvlJc w:val="left"/>
      <w:pPr>
        <w:ind w:left="4558" w:hanging="360"/>
      </w:pPr>
      <w:rPr>
        <w:rFonts w:hint="default"/>
      </w:rPr>
    </w:lvl>
    <w:lvl w:ilvl="5">
      <w:start w:val="0"/>
      <w:numFmt w:val="bullet"/>
      <w:lvlText w:val="•"/>
      <w:lvlJc w:val="left"/>
      <w:pPr>
        <w:ind w:left="5453" w:hanging="360"/>
      </w:pPr>
      <w:rPr>
        <w:rFonts w:hint="default"/>
      </w:rPr>
    </w:lvl>
    <w:lvl w:ilvl="6">
      <w:start w:val="0"/>
      <w:numFmt w:val="bullet"/>
      <w:lvlText w:val="•"/>
      <w:lvlJc w:val="left"/>
      <w:pPr>
        <w:ind w:left="6347" w:hanging="360"/>
      </w:pPr>
      <w:rPr>
        <w:rFonts w:hint="default"/>
      </w:rPr>
    </w:lvl>
    <w:lvl w:ilvl="7">
      <w:start w:val="0"/>
      <w:numFmt w:val="bullet"/>
      <w:lvlText w:val="•"/>
      <w:lvlJc w:val="left"/>
      <w:pPr>
        <w:ind w:left="7242" w:hanging="360"/>
      </w:pPr>
      <w:rPr>
        <w:rFonts w:hint="default"/>
      </w:rPr>
    </w:lvl>
    <w:lvl w:ilvl="8">
      <w:start w:val="0"/>
      <w:numFmt w:val="bullet"/>
      <w:lvlText w:val="•"/>
      <w:lvlJc w:val="left"/>
      <w:pPr>
        <w:ind w:left="8137" w:hanging="360"/>
      </w:pPr>
      <w:rPr>
        <w:rFonts w:hint="default"/>
      </w:rPr>
    </w:lvl>
  </w:abstractNum>
  <w:abstractNum w:abstractNumId="25">
    <w:nsid w:val="5CD76852"/>
    <w:multiLevelType w:val="multilevel"/>
    <w:tmpl w:val="CF94128C"/>
    <w:lvl w:ilvl="0">
      <w:start w:val="1"/>
      <w:numFmt w:val="decimal"/>
      <w:lvlText w:val="%1."/>
      <w:lvlJc w:val="left"/>
      <w:pPr>
        <w:ind w:left="616" w:hanging="360"/>
      </w:pPr>
    </w:lvl>
    <w:lvl w:ilvl="1">
      <w:start w:val="1"/>
      <w:numFmt w:val="decimal"/>
      <w:isLgl/>
      <w:lvlText w:val="%1.%2"/>
      <w:lvlJc w:val="left"/>
      <w:pPr>
        <w:ind w:left="616" w:hanging="360"/>
      </w:pPr>
      <w:rPr>
        <w:rFonts w:hint="default"/>
      </w:rPr>
    </w:lvl>
    <w:lvl w:ilvl="2">
      <w:start w:val="1"/>
      <w:numFmt w:val="decimal"/>
      <w:isLgl/>
      <w:lvlText w:val="%1.%2.%3"/>
      <w:lvlJc w:val="left"/>
      <w:pPr>
        <w:ind w:left="976" w:hanging="720"/>
      </w:pPr>
      <w:rPr>
        <w:rFonts w:hint="default"/>
      </w:rPr>
    </w:lvl>
    <w:lvl w:ilvl="3">
      <w:start w:val="1"/>
      <w:numFmt w:val="decimal"/>
      <w:isLgl/>
      <w:lvlText w:val="%1.%2.%3.%4"/>
      <w:lvlJc w:val="left"/>
      <w:pPr>
        <w:ind w:left="1336" w:hanging="1080"/>
      </w:pPr>
      <w:rPr>
        <w:rFonts w:hint="default"/>
      </w:rPr>
    </w:lvl>
    <w:lvl w:ilvl="4">
      <w:start w:val="1"/>
      <w:numFmt w:val="decimal"/>
      <w:isLgl/>
      <w:lvlText w:val="%1.%2.%3.%4.%5"/>
      <w:lvlJc w:val="left"/>
      <w:pPr>
        <w:ind w:left="1336" w:hanging="1080"/>
      </w:pPr>
      <w:rPr>
        <w:rFonts w:hint="default"/>
      </w:rPr>
    </w:lvl>
    <w:lvl w:ilvl="5">
      <w:start w:val="1"/>
      <w:numFmt w:val="decimal"/>
      <w:isLgl/>
      <w:lvlText w:val="%1.%2.%3.%4.%5.%6"/>
      <w:lvlJc w:val="left"/>
      <w:pPr>
        <w:ind w:left="1696" w:hanging="1440"/>
      </w:pPr>
      <w:rPr>
        <w:rFonts w:hint="default"/>
      </w:rPr>
    </w:lvl>
    <w:lvl w:ilvl="6">
      <w:start w:val="1"/>
      <w:numFmt w:val="decimal"/>
      <w:isLgl/>
      <w:lvlText w:val="%1.%2.%3.%4.%5.%6.%7"/>
      <w:lvlJc w:val="left"/>
      <w:pPr>
        <w:ind w:left="1696" w:hanging="1440"/>
      </w:pPr>
      <w:rPr>
        <w:rFonts w:hint="default"/>
      </w:rPr>
    </w:lvl>
    <w:lvl w:ilvl="7">
      <w:start w:val="1"/>
      <w:numFmt w:val="decimal"/>
      <w:isLgl/>
      <w:lvlText w:val="%1.%2.%3.%4.%5.%6.%7.%8"/>
      <w:lvlJc w:val="left"/>
      <w:pPr>
        <w:ind w:left="2056" w:hanging="1800"/>
      </w:pPr>
      <w:rPr>
        <w:rFonts w:hint="default"/>
      </w:rPr>
    </w:lvl>
    <w:lvl w:ilvl="8">
      <w:start w:val="1"/>
      <w:numFmt w:val="decimal"/>
      <w:isLgl/>
      <w:lvlText w:val="%1.%2.%3.%4.%5.%6.%7.%8.%9"/>
      <w:lvlJc w:val="left"/>
      <w:pPr>
        <w:ind w:left="2416" w:hanging="2160"/>
      </w:pPr>
      <w:rPr>
        <w:rFonts w:hint="default"/>
      </w:rPr>
    </w:lvl>
  </w:abstractNum>
  <w:abstractNum w:abstractNumId="26">
    <w:nsid w:val="5EEA6F66"/>
    <w:multiLevelType w:val="hybridMultilevel"/>
    <w:tmpl w:val="9156F5EE"/>
    <w:lvl w:ilvl="0">
      <w:start w:val="1"/>
      <w:numFmt w:val="bullet"/>
      <w:lvlText w:val=""/>
      <w:lvlJc w:val="left"/>
      <w:pPr>
        <w:ind w:left="644"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6AA926B1"/>
    <w:multiLevelType w:val="hybridMultilevel"/>
    <w:tmpl w:val="1DB4F5C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D384CF0"/>
    <w:multiLevelType w:val="hybridMultilevel"/>
    <w:tmpl w:val="B50061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6D4959FD"/>
    <w:multiLevelType w:val="hybridMultilevel"/>
    <w:tmpl w:val="00E0F908"/>
    <w:lvl w:ilvl="0">
      <w:start w:val="0"/>
      <w:numFmt w:val="bullet"/>
      <w:lvlText w:val=""/>
      <w:lvlJc w:val="left"/>
      <w:pPr>
        <w:ind w:left="976" w:hanging="360"/>
      </w:pPr>
      <w:rPr>
        <w:rFonts w:ascii="Symbol" w:eastAsia="Symbol" w:hAnsi="Symbol" w:cs="Symbol" w:hint="default"/>
        <w:w w:val="100"/>
        <w:sz w:val="22"/>
        <w:szCs w:val="22"/>
      </w:rPr>
    </w:lvl>
    <w:lvl w:ilvl="1">
      <w:start w:val="0"/>
      <w:numFmt w:val="bullet"/>
      <w:lvlText w:val="•"/>
      <w:lvlJc w:val="left"/>
      <w:pPr>
        <w:ind w:left="1874" w:hanging="360"/>
      </w:pPr>
      <w:rPr>
        <w:rFonts w:hint="default"/>
      </w:rPr>
    </w:lvl>
    <w:lvl w:ilvl="2">
      <w:start w:val="0"/>
      <w:numFmt w:val="bullet"/>
      <w:lvlText w:val="•"/>
      <w:lvlJc w:val="left"/>
      <w:pPr>
        <w:ind w:left="2769" w:hanging="360"/>
      </w:pPr>
      <w:rPr>
        <w:rFonts w:hint="default"/>
      </w:rPr>
    </w:lvl>
    <w:lvl w:ilvl="3">
      <w:start w:val="0"/>
      <w:numFmt w:val="bullet"/>
      <w:lvlText w:val="•"/>
      <w:lvlJc w:val="left"/>
      <w:pPr>
        <w:ind w:left="3663" w:hanging="360"/>
      </w:pPr>
      <w:rPr>
        <w:rFonts w:hint="default"/>
      </w:rPr>
    </w:lvl>
    <w:lvl w:ilvl="4">
      <w:start w:val="0"/>
      <w:numFmt w:val="bullet"/>
      <w:lvlText w:val="•"/>
      <w:lvlJc w:val="left"/>
      <w:pPr>
        <w:ind w:left="4558" w:hanging="360"/>
      </w:pPr>
      <w:rPr>
        <w:rFonts w:hint="default"/>
      </w:rPr>
    </w:lvl>
    <w:lvl w:ilvl="5">
      <w:start w:val="0"/>
      <w:numFmt w:val="bullet"/>
      <w:lvlText w:val="•"/>
      <w:lvlJc w:val="left"/>
      <w:pPr>
        <w:ind w:left="5453" w:hanging="360"/>
      </w:pPr>
      <w:rPr>
        <w:rFonts w:hint="default"/>
      </w:rPr>
    </w:lvl>
    <w:lvl w:ilvl="6">
      <w:start w:val="0"/>
      <w:numFmt w:val="bullet"/>
      <w:lvlText w:val="•"/>
      <w:lvlJc w:val="left"/>
      <w:pPr>
        <w:ind w:left="6347" w:hanging="360"/>
      </w:pPr>
      <w:rPr>
        <w:rFonts w:hint="default"/>
      </w:rPr>
    </w:lvl>
    <w:lvl w:ilvl="7">
      <w:start w:val="0"/>
      <w:numFmt w:val="bullet"/>
      <w:lvlText w:val="•"/>
      <w:lvlJc w:val="left"/>
      <w:pPr>
        <w:ind w:left="7242" w:hanging="360"/>
      </w:pPr>
      <w:rPr>
        <w:rFonts w:hint="default"/>
      </w:rPr>
    </w:lvl>
    <w:lvl w:ilvl="8">
      <w:start w:val="0"/>
      <w:numFmt w:val="bullet"/>
      <w:lvlText w:val="•"/>
      <w:lvlJc w:val="left"/>
      <w:pPr>
        <w:ind w:left="8137" w:hanging="360"/>
      </w:pPr>
      <w:rPr>
        <w:rFonts w:hint="default"/>
      </w:rPr>
    </w:lvl>
  </w:abstractNum>
  <w:abstractNum w:abstractNumId="30">
    <w:nsid w:val="724E6534"/>
    <w:multiLevelType w:val="hybridMultilevel"/>
    <w:tmpl w:val="B6905BD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28701E7"/>
    <w:multiLevelType w:val="hybridMultilevel"/>
    <w:tmpl w:val="7726925A"/>
    <w:lvl w:ilvl="0">
      <w:start w:val="0"/>
      <w:numFmt w:val="bullet"/>
      <w:lvlText w:val=""/>
      <w:lvlJc w:val="left"/>
      <w:pPr>
        <w:ind w:left="976" w:hanging="360"/>
      </w:pPr>
      <w:rPr>
        <w:rFonts w:ascii="Symbol" w:eastAsia="Symbol" w:hAnsi="Symbol" w:cs="Symbol" w:hint="default"/>
        <w:w w:val="100"/>
        <w:sz w:val="22"/>
        <w:szCs w:val="22"/>
      </w:rPr>
    </w:lvl>
    <w:lvl w:ilvl="1">
      <w:start w:val="0"/>
      <w:numFmt w:val="bullet"/>
      <w:lvlText w:val="•"/>
      <w:lvlJc w:val="left"/>
      <w:pPr>
        <w:ind w:left="1874" w:hanging="360"/>
      </w:pPr>
      <w:rPr>
        <w:rFonts w:hint="default"/>
      </w:rPr>
    </w:lvl>
    <w:lvl w:ilvl="2">
      <w:start w:val="0"/>
      <w:numFmt w:val="bullet"/>
      <w:lvlText w:val="•"/>
      <w:lvlJc w:val="left"/>
      <w:pPr>
        <w:ind w:left="2769" w:hanging="360"/>
      </w:pPr>
      <w:rPr>
        <w:rFonts w:hint="default"/>
      </w:rPr>
    </w:lvl>
    <w:lvl w:ilvl="3">
      <w:start w:val="0"/>
      <w:numFmt w:val="bullet"/>
      <w:lvlText w:val="•"/>
      <w:lvlJc w:val="left"/>
      <w:pPr>
        <w:ind w:left="3663" w:hanging="360"/>
      </w:pPr>
      <w:rPr>
        <w:rFonts w:hint="default"/>
      </w:rPr>
    </w:lvl>
    <w:lvl w:ilvl="4">
      <w:start w:val="0"/>
      <w:numFmt w:val="bullet"/>
      <w:lvlText w:val="•"/>
      <w:lvlJc w:val="left"/>
      <w:pPr>
        <w:ind w:left="4558" w:hanging="360"/>
      </w:pPr>
      <w:rPr>
        <w:rFonts w:hint="default"/>
      </w:rPr>
    </w:lvl>
    <w:lvl w:ilvl="5">
      <w:start w:val="0"/>
      <w:numFmt w:val="bullet"/>
      <w:lvlText w:val="•"/>
      <w:lvlJc w:val="left"/>
      <w:pPr>
        <w:ind w:left="5453" w:hanging="360"/>
      </w:pPr>
      <w:rPr>
        <w:rFonts w:hint="default"/>
      </w:rPr>
    </w:lvl>
    <w:lvl w:ilvl="6">
      <w:start w:val="0"/>
      <w:numFmt w:val="bullet"/>
      <w:lvlText w:val="•"/>
      <w:lvlJc w:val="left"/>
      <w:pPr>
        <w:ind w:left="6347" w:hanging="360"/>
      </w:pPr>
      <w:rPr>
        <w:rFonts w:hint="default"/>
      </w:rPr>
    </w:lvl>
    <w:lvl w:ilvl="7">
      <w:start w:val="0"/>
      <w:numFmt w:val="bullet"/>
      <w:lvlText w:val="•"/>
      <w:lvlJc w:val="left"/>
      <w:pPr>
        <w:ind w:left="7242" w:hanging="360"/>
      </w:pPr>
      <w:rPr>
        <w:rFonts w:hint="default"/>
      </w:rPr>
    </w:lvl>
    <w:lvl w:ilvl="8">
      <w:start w:val="0"/>
      <w:numFmt w:val="bullet"/>
      <w:lvlText w:val="•"/>
      <w:lvlJc w:val="left"/>
      <w:pPr>
        <w:ind w:left="8137" w:hanging="360"/>
      </w:pPr>
      <w:rPr>
        <w:rFonts w:hint="default"/>
      </w:rPr>
    </w:lvl>
  </w:abstractNum>
  <w:abstractNum w:abstractNumId="32">
    <w:nsid w:val="769165EC"/>
    <w:multiLevelType w:val="hybridMultilevel"/>
    <w:tmpl w:val="CCA8C04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8C03EC0"/>
    <w:multiLevelType w:val="hybridMultilevel"/>
    <w:tmpl w:val="88081092"/>
    <w:lvl w:ilvl="0">
      <w:start w:val="1"/>
      <w:numFmt w:val="decimal"/>
      <w:lvlText w:val="%1."/>
      <w:lvlJc w:val="left"/>
      <w:pPr>
        <w:ind w:left="720" w:hanging="360"/>
      </w:pPr>
      <w:rPr>
        <w:rFonts w:hint="default"/>
        <w:color w:val="00338C"/>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AF6068C"/>
    <w:multiLevelType w:val="hybridMultilevel"/>
    <w:tmpl w:val="AB66D340"/>
    <w:lvl w:ilvl="0">
      <w:start w:val="0"/>
      <w:numFmt w:val="bullet"/>
      <w:lvlText w:val="-"/>
      <w:lvlJc w:val="left"/>
      <w:pPr>
        <w:ind w:left="720" w:hanging="360"/>
      </w:pPr>
      <w:rPr>
        <w:rFonts w:ascii="Calibri" w:hAnsi="Calibri"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B07010C"/>
    <w:multiLevelType w:val="hybridMultilevel"/>
    <w:tmpl w:val="C18A5ED4"/>
    <w:lvl w:ilvl="0">
      <w:start w:val="0"/>
      <w:numFmt w:val="bullet"/>
      <w:lvlText w:val="-"/>
      <w:lvlJc w:val="left"/>
      <w:pPr>
        <w:ind w:left="976" w:hanging="360"/>
      </w:pPr>
      <w:rPr>
        <w:rFonts w:ascii="Calibri" w:eastAsia="Calibri" w:hAnsi="Calibri" w:cs="Calibri" w:hint="default"/>
        <w:w w:val="100"/>
        <w:sz w:val="22"/>
        <w:szCs w:val="22"/>
      </w:rPr>
    </w:lvl>
    <w:lvl w:ilvl="1">
      <w:start w:val="0"/>
      <w:numFmt w:val="bullet"/>
      <w:lvlText w:val="•"/>
      <w:lvlJc w:val="left"/>
      <w:pPr>
        <w:ind w:left="1874" w:hanging="360"/>
      </w:pPr>
      <w:rPr>
        <w:rFonts w:hint="default"/>
      </w:rPr>
    </w:lvl>
    <w:lvl w:ilvl="2">
      <w:start w:val="0"/>
      <w:numFmt w:val="bullet"/>
      <w:lvlText w:val="•"/>
      <w:lvlJc w:val="left"/>
      <w:pPr>
        <w:ind w:left="2769" w:hanging="360"/>
      </w:pPr>
      <w:rPr>
        <w:rFonts w:hint="default"/>
      </w:rPr>
    </w:lvl>
    <w:lvl w:ilvl="3">
      <w:start w:val="0"/>
      <w:numFmt w:val="bullet"/>
      <w:lvlText w:val="•"/>
      <w:lvlJc w:val="left"/>
      <w:pPr>
        <w:ind w:left="3663" w:hanging="360"/>
      </w:pPr>
      <w:rPr>
        <w:rFonts w:hint="default"/>
      </w:rPr>
    </w:lvl>
    <w:lvl w:ilvl="4">
      <w:start w:val="0"/>
      <w:numFmt w:val="bullet"/>
      <w:lvlText w:val="•"/>
      <w:lvlJc w:val="left"/>
      <w:pPr>
        <w:ind w:left="4558" w:hanging="360"/>
      </w:pPr>
      <w:rPr>
        <w:rFonts w:hint="default"/>
      </w:rPr>
    </w:lvl>
    <w:lvl w:ilvl="5">
      <w:start w:val="0"/>
      <w:numFmt w:val="bullet"/>
      <w:lvlText w:val="•"/>
      <w:lvlJc w:val="left"/>
      <w:pPr>
        <w:ind w:left="5453" w:hanging="360"/>
      </w:pPr>
      <w:rPr>
        <w:rFonts w:hint="default"/>
      </w:rPr>
    </w:lvl>
    <w:lvl w:ilvl="6">
      <w:start w:val="0"/>
      <w:numFmt w:val="bullet"/>
      <w:lvlText w:val="•"/>
      <w:lvlJc w:val="left"/>
      <w:pPr>
        <w:ind w:left="6347" w:hanging="360"/>
      </w:pPr>
      <w:rPr>
        <w:rFonts w:hint="default"/>
      </w:rPr>
    </w:lvl>
    <w:lvl w:ilvl="7">
      <w:start w:val="0"/>
      <w:numFmt w:val="bullet"/>
      <w:lvlText w:val="•"/>
      <w:lvlJc w:val="left"/>
      <w:pPr>
        <w:ind w:left="7242" w:hanging="360"/>
      </w:pPr>
      <w:rPr>
        <w:rFonts w:hint="default"/>
      </w:rPr>
    </w:lvl>
    <w:lvl w:ilvl="8">
      <w:start w:val="0"/>
      <w:numFmt w:val="bullet"/>
      <w:lvlText w:val="•"/>
      <w:lvlJc w:val="left"/>
      <w:pPr>
        <w:ind w:left="8137" w:hanging="360"/>
      </w:pPr>
      <w:rPr>
        <w:rFonts w:hint="default"/>
      </w:rPr>
    </w:lvl>
  </w:abstractNum>
  <w:abstractNum w:abstractNumId="36">
    <w:nsid w:val="7B275C9C"/>
    <w:multiLevelType w:val="hybridMultilevel"/>
    <w:tmpl w:val="50380D48"/>
    <w:lvl w:ilvl="0">
      <w:start w:val="1"/>
      <w:numFmt w:val="bullet"/>
      <w:lvlText w:val=""/>
      <w:lvlJc w:val="left"/>
      <w:pPr>
        <w:ind w:left="976" w:hanging="360"/>
      </w:pPr>
      <w:rPr>
        <w:rFonts w:ascii="Symbol" w:hAnsi="Symbol" w:hint="default"/>
      </w:rPr>
    </w:lvl>
    <w:lvl w:ilvl="1" w:tentative="1">
      <w:start w:val="1"/>
      <w:numFmt w:val="bullet"/>
      <w:lvlText w:val="o"/>
      <w:lvlJc w:val="left"/>
      <w:pPr>
        <w:ind w:left="1696" w:hanging="360"/>
      </w:pPr>
      <w:rPr>
        <w:rFonts w:ascii="Courier New" w:hAnsi="Courier New" w:cs="Courier New" w:hint="default"/>
      </w:rPr>
    </w:lvl>
    <w:lvl w:ilvl="2" w:tentative="1">
      <w:start w:val="1"/>
      <w:numFmt w:val="bullet"/>
      <w:lvlText w:val=""/>
      <w:lvlJc w:val="left"/>
      <w:pPr>
        <w:ind w:left="2416" w:hanging="360"/>
      </w:pPr>
      <w:rPr>
        <w:rFonts w:ascii="Wingdings" w:hAnsi="Wingdings" w:hint="default"/>
      </w:rPr>
    </w:lvl>
    <w:lvl w:ilvl="3" w:tentative="1">
      <w:start w:val="1"/>
      <w:numFmt w:val="bullet"/>
      <w:lvlText w:val=""/>
      <w:lvlJc w:val="left"/>
      <w:pPr>
        <w:ind w:left="3136" w:hanging="360"/>
      </w:pPr>
      <w:rPr>
        <w:rFonts w:ascii="Symbol" w:hAnsi="Symbol" w:hint="default"/>
      </w:rPr>
    </w:lvl>
    <w:lvl w:ilvl="4" w:tentative="1">
      <w:start w:val="1"/>
      <w:numFmt w:val="bullet"/>
      <w:lvlText w:val="o"/>
      <w:lvlJc w:val="left"/>
      <w:pPr>
        <w:ind w:left="3856" w:hanging="360"/>
      </w:pPr>
      <w:rPr>
        <w:rFonts w:ascii="Courier New" w:hAnsi="Courier New" w:cs="Courier New" w:hint="default"/>
      </w:rPr>
    </w:lvl>
    <w:lvl w:ilvl="5" w:tentative="1">
      <w:start w:val="1"/>
      <w:numFmt w:val="bullet"/>
      <w:lvlText w:val=""/>
      <w:lvlJc w:val="left"/>
      <w:pPr>
        <w:ind w:left="4576" w:hanging="360"/>
      </w:pPr>
      <w:rPr>
        <w:rFonts w:ascii="Wingdings" w:hAnsi="Wingdings" w:hint="default"/>
      </w:rPr>
    </w:lvl>
    <w:lvl w:ilvl="6" w:tentative="1">
      <w:start w:val="1"/>
      <w:numFmt w:val="bullet"/>
      <w:lvlText w:val=""/>
      <w:lvlJc w:val="left"/>
      <w:pPr>
        <w:ind w:left="5296" w:hanging="360"/>
      </w:pPr>
      <w:rPr>
        <w:rFonts w:ascii="Symbol" w:hAnsi="Symbol" w:hint="default"/>
      </w:rPr>
    </w:lvl>
    <w:lvl w:ilvl="7" w:tentative="1">
      <w:start w:val="1"/>
      <w:numFmt w:val="bullet"/>
      <w:lvlText w:val="o"/>
      <w:lvlJc w:val="left"/>
      <w:pPr>
        <w:ind w:left="6016" w:hanging="360"/>
      </w:pPr>
      <w:rPr>
        <w:rFonts w:ascii="Courier New" w:hAnsi="Courier New" w:cs="Courier New" w:hint="default"/>
      </w:rPr>
    </w:lvl>
    <w:lvl w:ilvl="8" w:tentative="1">
      <w:start w:val="1"/>
      <w:numFmt w:val="bullet"/>
      <w:lvlText w:val=""/>
      <w:lvlJc w:val="left"/>
      <w:pPr>
        <w:ind w:left="6736" w:hanging="360"/>
      </w:pPr>
      <w:rPr>
        <w:rFonts w:ascii="Wingdings" w:hAnsi="Wingdings" w:hint="default"/>
      </w:rPr>
    </w:lvl>
  </w:abstractNum>
  <w:abstractNum w:abstractNumId="37">
    <w:nsid w:val="7CF05125"/>
    <w:multiLevelType w:val="multilevel"/>
    <w:tmpl w:val="BD0ADC52"/>
    <w:lvl w:ilvl="0">
      <w:start w:val="3"/>
      <w:numFmt w:val="decimal"/>
      <w:lvlText w:val="%1"/>
      <w:lvlJc w:val="left"/>
      <w:pPr>
        <w:ind w:left="1672" w:hanging="850"/>
      </w:pPr>
      <w:rPr>
        <w:rFonts w:hint="default"/>
      </w:rPr>
    </w:lvl>
    <w:lvl w:ilvl="1">
      <w:start w:val="1"/>
      <w:numFmt w:val="decimal"/>
      <w:lvlText w:val="%1.%2."/>
      <w:lvlJc w:val="left"/>
      <w:pPr>
        <w:ind w:left="1672" w:hanging="850"/>
      </w:pPr>
      <w:rPr>
        <w:rFonts w:ascii="Calibri" w:eastAsia="Calibri" w:hAnsi="Calibri" w:cs="Calibri" w:hint="default"/>
        <w:b/>
        <w:bCs/>
        <w:color w:val="00338C"/>
        <w:spacing w:val="-2"/>
        <w:w w:val="100"/>
        <w:sz w:val="28"/>
        <w:szCs w:val="28"/>
      </w:rPr>
    </w:lvl>
    <w:lvl w:ilvl="2">
      <w:start w:val="0"/>
      <w:numFmt w:val="bullet"/>
      <w:lvlText w:val="•"/>
      <w:lvlJc w:val="left"/>
      <w:pPr>
        <w:ind w:left="3329" w:hanging="850"/>
      </w:pPr>
      <w:rPr>
        <w:rFonts w:hint="default"/>
      </w:rPr>
    </w:lvl>
    <w:lvl w:ilvl="3">
      <w:start w:val="0"/>
      <w:numFmt w:val="bullet"/>
      <w:lvlText w:val="•"/>
      <w:lvlJc w:val="left"/>
      <w:pPr>
        <w:ind w:left="4153" w:hanging="850"/>
      </w:pPr>
      <w:rPr>
        <w:rFonts w:hint="default"/>
      </w:rPr>
    </w:lvl>
    <w:lvl w:ilvl="4">
      <w:start w:val="0"/>
      <w:numFmt w:val="bullet"/>
      <w:lvlText w:val="•"/>
      <w:lvlJc w:val="left"/>
      <w:pPr>
        <w:ind w:left="4978" w:hanging="850"/>
      </w:pPr>
      <w:rPr>
        <w:rFonts w:hint="default"/>
      </w:rPr>
    </w:lvl>
    <w:lvl w:ilvl="5">
      <w:start w:val="0"/>
      <w:numFmt w:val="bullet"/>
      <w:lvlText w:val="•"/>
      <w:lvlJc w:val="left"/>
      <w:pPr>
        <w:ind w:left="5803" w:hanging="850"/>
      </w:pPr>
      <w:rPr>
        <w:rFonts w:hint="default"/>
      </w:rPr>
    </w:lvl>
    <w:lvl w:ilvl="6">
      <w:start w:val="0"/>
      <w:numFmt w:val="bullet"/>
      <w:lvlText w:val="•"/>
      <w:lvlJc w:val="left"/>
      <w:pPr>
        <w:ind w:left="6627" w:hanging="850"/>
      </w:pPr>
      <w:rPr>
        <w:rFonts w:hint="default"/>
      </w:rPr>
    </w:lvl>
    <w:lvl w:ilvl="7">
      <w:start w:val="0"/>
      <w:numFmt w:val="bullet"/>
      <w:lvlText w:val="•"/>
      <w:lvlJc w:val="left"/>
      <w:pPr>
        <w:ind w:left="7452" w:hanging="850"/>
      </w:pPr>
      <w:rPr>
        <w:rFonts w:hint="default"/>
      </w:rPr>
    </w:lvl>
    <w:lvl w:ilvl="8">
      <w:start w:val="0"/>
      <w:numFmt w:val="bullet"/>
      <w:lvlText w:val="•"/>
      <w:lvlJc w:val="left"/>
      <w:pPr>
        <w:ind w:left="8277" w:hanging="850"/>
      </w:pPr>
      <w:rPr>
        <w:rFonts w:hint="default"/>
      </w:rPr>
    </w:lvl>
  </w:abstractNum>
  <w:abstractNum w:abstractNumId="38">
    <w:nsid w:val="7D7A0C3B"/>
    <w:multiLevelType w:val="hybridMultilevel"/>
    <w:tmpl w:val="EDE624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24"/>
  </w:num>
  <w:num w:numId="4">
    <w:abstractNumId w:val="12"/>
  </w:num>
  <w:num w:numId="5">
    <w:abstractNumId w:val="18"/>
  </w:num>
  <w:num w:numId="6">
    <w:abstractNumId w:val="22"/>
  </w:num>
  <w:num w:numId="7">
    <w:abstractNumId w:val="35"/>
  </w:num>
  <w:num w:numId="8">
    <w:abstractNumId w:val="37"/>
  </w:num>
  <w:num w:numId="9">
    <w:abstractNumId w:val="31"/>
  </w:num>
  <w:num w:numId="10">
    <w:abstractNumId w:val="0"/>
  </w:num>
  <w:num w:numId="11">
    <w:abstractNumId w:val="13"/>
  </w:num>
  <w:num w:numId="12">
    <w:abstractNumId w:val="21"/>
  </w:num>
  <w:num w:numId="13">
    <w:abstractNumId w:val="16"/>
  </w:num>
  <w:num w:numId="14">
    <w:abstractNumId w:val="2"/>
  </w:num>
  <w:num w:numId="15">
    <w:abstractNumId w:val="36"/>
  </w:num>
  <w:num w:numId="16">
    <w:abstractNumId w:val="26"/>
  </w:num>
  <w:num w:numId="17">
    <w:abstractNumId w:val="17"/>
  </w:num>
  <w:num w:numId="18">
    <w:abstractNumId w:val="33"/>
  </w:num>
  <w:num w:numId="19">
    <w:abstractNumId w:val="23"/>
  </w:num>
  <w:num w:numId="20">
    <w:abstractNumId w:val="19"/>
  </w:num>
  <w:num w:numId="21">
    <w:abstractNumId w:val="4"/>
  </w:num>
  <w:num w:numId="22">
    <w:abstractNumId w:val="15"/>
  </w:num>
  <w:num w:numId="23">
    <w:abstractNumId w:val="6"/>
  </w:num>
  <w:num w:numId="24">
    <w:abstractNumId w:val="8"/>
  </w:num>
  <w:num w:numId="25">
    <w:abstractNumId w:val="20"/>
  </w:num>
  <w:num w:numId="26">
    <w:abstractNumId w:val="28"/>
  </w:num>
  <w:num w:numId="27">
    <w:abstractNumId w:val="7"/>
  </w:num>
  <w:num w:numId="28">
    <w:abstractNumId w:val="30"/>
  </w:num>
  <w:num w:numId="29">
    <w:abstractNumId w:val="32"/>
  </w:num>
  <w:num w:numId="30">
    <w:abstractNumId w:val="25"/>
  </w:num>
  <w:num w:numId="31">
    <w:abstractNumId w:val="34"/>
  </w:num>
  <w:num w:numId="32">
    <w:abstractNumId w:val="3"/>
  </w:num>
  <w:num w:numId="33">
    <w:abstractNumId w:val="9"/>
  </w:num>
  <w:num w:numId="34">
    <w:abstractNumId w:val="5"/>
  </w:num>
  <w:num w:numId="35">
    <w:abstractNumId w:val="11"/>
  </w:num>
  <w:num w:numId="36">
    <w:abstractNumId w:val="10"/>
  </w:num>
  <w:num w:numId="37">
    <w:abstractNumId w:val="14"/>
  </w:num>
  <w:num w:numId="38">
    <w:abstractNumId w:val="38"/>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32E"/>
    <w:rsid w:val="00037C07"/>
    <w:rsid w:val="000407B9"/>
    <w:rsid w:val="000524D7"/>
    <w:rsid w:val="00052823"/>
    <w:rsid w:val="000667DD"/>
    <w:rsid w:val="00066EDA"/>
    <w:rsid w:val="000704E6"/>
    <w:rsid w:val="00074B7B"/>
    <w:rsid w:val="00082650"/>
    <w:rsid w:val="000904B7"/>
    <w:rsid w:val="000971B6"/>
    <w:rsid w:val="000B3D7F"/>
    <w:rsid w:val="000D0DB6"/>
    <w:rsid w:val="000D3DCB"/>
    <w:rsid w:val="000D71F9"/>
    <w:rsid w:val="000E05EC"/>
    <w:rsid w:val="000E2132"/>
    <w:rsid w:val="000E56D1"/>
    <w:rsid w:val="000F6F7C"/>
    <w:rsid w:val="00110F31"/>
    <w:rsid w:val="00113AF4"/>
    <w:rsid w:val="00115772"/>
    <w:rsid w:val="001235BA"/>
    <w:rsid w:val="001322E1"/>
    <w:rsid w:val="00135F35"/>
    <w:rsid w:val="0014323A"/>
    <w:rsid w:val="001454AF"/>
    <w:rsid w:val="00145601"/>
    <w:rsid w:val="00191384"/>
    <w:rsid w:val="0019569B"/>
    <w:rsid w:val="0019623B"/>
    <w:rsid w:val="001C4612"/>
    <w:rsid w:val="001C5F71"/>
    <w:rsid w:val="001D6612"/>
    <w:rsid w:val="001D7E5F"/>
    <w:rsid w:val="001E03F6"/>
    <w:rsid w:val="001E53F2"/>
    <w:rsid w:val="001E6D73"/>
    <w:rsid w:val="001F4FA9"/>
    <w:rsid w:val="001F5B19"/>
    <w:rsid w:val="00203FCB"/>
    <w:rsid w:val="002053F0"/>
    <w:rsid w:val="00207652"/>
    <w:rsid w:val="00207BF0"/>
    <w:rsid w:val="002220C9"/>
    <w:rsid w:val="002220EC"/>
    <w:rsid w:val="00222ABE"/>
    <w:rsid w:val="00225A3B"/>
    <w:rsid w:val="00235EB7"/>
    <w:rsid w:val="00243E5F"/>
    <w:rsid w:val="00252CD0"/>
    <w:rsid w:val="0026532E"/>
    <w:rsid w:val="00270035"/>
    <w:rsid w:val="00272B3A"/>
    <w:rsid w:val="002741DD"/>
    <w:rsid w:val="002A63E4"/>
    <w:rsid w:val="002B759F"/>
    <w:rsid w:val="002B762A"/>
    <w:rsid w:val="002C0E66"/>
    <w:rsid w:val="002C180E"/>
    <w:rsid w:val="002C73BF"/>
    <w:rsid w:val="002D39CE"/>
    <w:rsid w:val="00300F25"/>
    <w:rsid w:val="003161DA"/>
    <w:rsid w:val="00317E8D"/>
    <w:rsid w:val="003237DC"/>
    <w:rsid w:val="00330133"/>
    <w:rsid w:val="00332ADB"/>
    <w:rsid w:val="0033773D"/>
    <w:rsid w:val="00342420"/>
    <w:rsid w:val="003436F6"/>
    <w:rsid w:val="00370245"/>
    <w:rsid w:val="0037711F"/>
    <w:rsid w:val="003805A8"/>
    <w:rsid w:val="00390E67"/>
    <w:rsid w:val="003A47A5"/>
    <w:rsid w:val="003B0ABB"/>
    <w:rsid w:val="003E656F"/>
    <w:rsid w:val="003E67CB"/>
    <w:rsid w:val="003F266F"/>
    <w:rsid w:val="0040386C"/>
    <w:rsid w:val="004218B3"/>
    <w:rsid w:val="00424E06"/>
    <w:rsid w:val="004311BF"/>
    <w:rsid w:val="004323BE"/>
    <w:rsid w:val="004365DD"/>
    <w:rsid w:val="00437A21"/>
    <w:rsid w:val="00456F44"/>
    <w:rsid w:val="00464479"/>
    <w:rsid w:val="004661D7"/>
    <w:rsid w:val="00466ABF"/>
    <w:rsid w:val="004727B7"/>
    <w:rsid w:val="00487A47"/>
    <w:rsid w:val="004A4B77"/>
    <w:rsid w:val="004A7EC7"/>
    <w:rsid w:val="004D03E7"/>
    <w:rsid w:val="004D0A33"/>
    <w:rsid w:val="004D51D6"/>
    <w:rsid w:val="004E7E08"/>
    <w:rsid w:val="00504523"/>
    <w:rsid w:val="005077FE"/>
    <w:rsid w:val="005155BB"/>
    <w:rsid w:val="005361BE"/>
    <w:rsid w:val="00544080"/>
    <w:rsid w:val="005623CF"/>
    <w:rsid w:val="005875A1"/>
    <w:rsid w:val="005974B8"/>
    <w:rsid w:val="005A690F"/>
    <w:rsid w:val="005B12F9"/>
    <w:rsid w:val="005B5958"/>
    <w:rsid w:val="005E3C0A"/>
    <w:rsid w:val="005E7EFC"/>
    <w:rsid w:val="005F0861"/>
    <w:rsid w:val="00607226"/>
    <w:rsid w:val="00623165"/>
    <w:rsid w:val="00623690"/>
    <w:rsid w:val="006341EE"/>
    <w:rsid w:val="00642992"/>
    <w:rsid w:val="006551A9"/>
    <w:rsid w:val="00664FE8"/>
    <w:rsid w:val="00682398"/>
    <w:rsid w:val="00683253"/>
    <w:rsid w:val="00685BD0"/>
    <w:rsid w:val="00686C6A"/>
    <w:rsid w:val="00695CE2"/>
    <w:rsid w:val="006A1879"/>
    <w:rsid w:val="006A3BDB"/>
    <w:rsid w:val="006C547C"/>
    <w:rsid w:val="006D1226"/>
    <w:rsid w:val="006D7F1F"/>
    <w:rsid w:val="006E0243"/>
    <w:rsid w:val="006F1710"/>
    <w:rsid w:val="00704230"/>
    <w:rsid w:val="00730AFE"/>
    <w:rsid w:val="00762011"/>
    <w:rsid w:val="00762FC5"/>
    <w:rsid w:val="00764390"/>
    <w:rsid w:val="00776081"/>
    <w:rsid w:val="00782743"/>
    <w:rsid w:val="007B2CFE"/>
    <w:rsid w:val="007B359B"/>
    <w:rsid w:val="007B5AF0"/>
    <w:rsid w:val="007C320B"/>
    <w:rsid w:val="007C6B72"/>
    <w:rsid w:val="007D171A"/>
    <w:rsid w:val="007E2325"/>
    <w:rsid w:val="007E2512"/>
    <w:rsid w:val="007F0451"/>
    <w:rsid w:val="007F23DE"/>
    <w:rsid w:val="007F4D4F"/>
    <w:rsid w:val="00806AD4"/>
    <w:rsid w:val="00812682"/>
    <w:rsid w:val="00832CDA"/>
    <w:rsid w:val="00845F10"/>
    <w:rsid w:val="008735A5"/>
    <w:rsid w:val="00873C26"/>
    <w:rsid w:val="0087501D"/>
    <w:rsid w:val="008A5328"/>
    <w:rsid w:val="008A656E"/>
    <w:rsid w:val="008B574D"/>
    <w:rsid w:val="008B5EF0"/>
    <w:rsid w:val="008B60D0"/>
    <w:rsid w:val="00900B2B"/>
    <w:rsid w:val="00903943"/>
    <w:rsid w:val="00906F47"/>
    <w:rsid w:val="00907D8A"/>
    <w:rsid w:val="00920576"/>
    <w:rsid w:val="00930B22"/>
    <w:rsid w:val="00936AF3"/>
    <w:rsid w:val="00950B20"/>
    <w:rsid w:val="00956DA9"/>
    <w:rsid w:val="00967F89"/>
    <w:rsid w:val="00980C02"/>
    <w:rsid w:val="00986FC4"/>
    <w:rsid w:val="00987581"/>
    <w:rsid w:val="009943E0"/>
    <w:rsid w:val="009A008B"/>
    <w:rsid w:val="009A1108"/>
    <w:rsid w:val="009D3D48"/>
    <w:rsid w:val="009D7108"/>
    <w:rsid w:val="009E3A0F"/>
    <w:rsid w:val="009E5705"/>
    <w:rsid w:val="009E57E8"/>
    <w:rsid w:val="009F03F0"/>
    <w:rsid w:val="009F08C6"/>
    <w:rsid w:val="00A6177F"/>
    <w:rsid w:val="00A61ABD"/>
    <w:rsid w:val="00A626FC"/>
    <w:rsid w:val="00A72383"/>
    <w:rsid w:val="00A92DEA"/>
    <w:rsid w:val="00AB10FB"/>
    <w:rsid w:val="00AB7610"/>
    <w:rsid w:val="00AC4B55"/>
    <w:rsid w:val="00AC6CCC"/>
    <w:rsid w:val="00AD7C32"/>
    <w:rsid w:val="00AE38C4"/>
    <w:rsid w:val="00AF46D4"/>
    <w:rsid w:val="00B05293"/>
    <w:rsid w:val="00B054CC"/>
    <w:rsid w:val="00B22A77"/>
    <w:rsid w:val="00B31C1F"/>
    <w:rsid w:val="00B42D91"/>
    <w:rsid w:val="00B47614"/>
    <w:rsid w:val="00B61BE0"/>
    <w:rsid w:val="00B63A63"/>
    <w:rsid w:val="00B65111"/>
    <w:rsid w:val="00B7519C"/>
    <w:rsid w:val="00B9497B"/>
    <w:rsid w:val="00B95703"/>
    <w:rsid w:val="00BA2E8A"/>
    <w:rsid w:val="00BB3896"/>
    <w:rsid w:val="00BB55BE"/>
    <w:rsid w:val="00BB6CE3"/>
    <w:rsid w:val="00BF2B45"/>
    <w:rsid w:val="00BF5255"/>
    <w:rsid w:val="00C04C86"/>
    <w:rsid w:val="00C14131"/>
    <w:rsid w:val="00C154EE"/>
    <w:rsid w:val="00C17C12"/>
    <w:rsid w:val="00C3191A"/>
    <w:rsid w:val="00C6054F"/>
    <w:rsid w:val="00C83D80"/>
    <w:rsid w:val="00C84E55"/>
    <w:rsid w:val="00C86627"/>
    <w:rsid w:val="00C90029"/>
    <w:rsid w:val="00C91B8D"/>
    <w:rsid w:val="00CA3679"/>
    <w:rsid w:val="00CB4851"/>
    <w:rsid w:val="00CC565B"/>
    <w:rsid w:val="00CD177F"/>
    <w:rsid w:val="00CD563D"/>
    <w:rsid w:val="00CD591E"/>
    <w:rsid w:val="00CE31ED"/>
    <w:rsid w:val="00CF7DE6"/>
    <w:rsid w:val="00D00B6A"/>
    <w:rsid w:val="00D11AA1"/>
    <w:rsid w:val="00D11CC5"/>
    <w:rsid w:val="00D17EBA"/>
    <w:rsid w:val="00D424C3"/>
    <w:rsid w:val="00D50D22"/>
    <w:rsid w:val="00D60228"/>
    <w:rsid w:val="00D742F1"/>
    <w:rsid w:val="00D82F55"/>
    <w:rsid w:val="00D863F1"/>
    <w:rsid w:val="00D92E76"/>
    <w:rsid w:val="00DA7BB7"/>
    <w:rsid w:val="00DB0C26"/>
    <w:rsid w:val="00DC0E27"/>
    <w:rsid w:val="00DD3AFC"/>
    <w:rsid w:val="00DE4AB6"/>
    <w:rsid w:val="00DE716A"/>
    <w:rsid w:val="00E025D6"/>
    <w:rsid w:val="00E41DF4"/>
    <w:rsid w:val="00E43190"/>
    <w:rsid w:val="00E62051"/>
    <w:rsid w:val="00E80315"/>
    <w:rsid w:val="00E8212E"/>
    <w:rsid w:val="00E92526"/>
    <w:rsid w:val="00E9680A"/>
    <w:rsid w:val="00EA624C"/>
    <w:rsid w:val="00EA72FB"/>
    <w:rsid w:val="00EB45C0"/>
    <w:rsid w:val="00EC0FBC"/>
    <w:rsid w:val="00EC6C2B"/>
    <w:rsid w:val="00EC782F"/>
    <w:rsid w:val="00F165FA"/>
    <w:rsid w:val="00F16A15"/>
    <w:rsid w:val="00F17052"/>
    <w:rsid w:val="00F21CC9"/>
    <w:rsid w:val="00F23425"/>
    <w:rsid w:val="00F3723E"/>
    <w:rsid w:val="00F4103D"/>
    <w:rsid w:val="00F62BC1"/>
    <w:rsid w:val="00F62D84"/>
    <w:rsid w:val="00F72784"/>
    <w:rsid w:val="00F8216C"/>
    <w:rsid w:val="00F84A9D"/>
    <w:rsid w:val="00FA5007"/>
    <w:rsid w:val="00FC1A50"/>
    <w:rsid w:val="00FC4660"/>
    <w:rsid w:val="00FC5304"/>
    <w:rsid w:val="00FD2D3B"/>
    <w:rsid w:val="00FD6B63"/>
    <w:rsid w:val="00FE0684"/>
    <w:rsid w:val="00FE62B0"/>
    <w:rsid w:val="00FE6F37"/>
    <w:rsid w:val="00FF231B"/>
    <w:rsid w:val="00FF5E95"/>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14:docId w14:val="277F759A"/>
  <w15:docId w15:val="{31EB44A4-5DCB-4ACE-A81C-A6C8FD01E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nb-NO"/>
    </w:rPr>
  </w:style>
  <w:style w:type="paragraph" w:styleId="Heading1">
    <w:name w:val="heading 1"/>
    <w:basedOn w:val="Normal"/>
    <w:uiPriority w:val="1"/>
    <w:qFormat/>
    <w:rsid w:val="009F03F0"/>
    <w:pPr>
      <w:spacing w:before="240" w:after="120"/>
      <w:ind w:left="357" w:hanging="357"/>
      <w:outlineLvl w:val="0"/>
    </w:pPr>
    <w:rPr>
      <w:b/>
      <w:bCs/>
      <w:color w:val="244061" w:themeColor="accent1" w:themeShade="80"/>
      <w:sz w:val="36"/>
      <w:szCs w:val="36"/>
    </w:rPr>
  </w:style>
  <w:style w:type="paragraph" w:styleId="Heading2">
    <w:name w:val="heading 2"/>
    <w:basedOn w:val="Normal"/>
    <w:uiPriority w:val="1"/>
    <w:qFormat/>
    <w:rsid w:val="009F03F0"/>
    <w:pPr>
      <w:spacing w:before="240" w:after="120"/>
      <w:ind w:left="1135" w:hanging="851"/>
      <w:outlineLvl w:val="1"/>
    </w:pPr>
    <w:rPr>
      <w:b/>
      <w:bCs/>
      <w:color w:val="244061" w:themeColor="accent1" w:themeShade="80"/>
      <w:sz w:val="28"/>
      <w:szCs w:val="28"/>
    </w:rPr>
  </w:style>
  <w:style w:type="paragraph" w:styleId="Heading3">
    <w:name w:val="heading 3"/>
    <w:basedOn w:val="Normal"/>
    <w:uiPriority w:val="1"/>
    <w:qFormat/>
    <w:pPr>
      <w:spacing w:before="56"/>
      <w:ind w:left="1196"/>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39"/>
      <w:ind w:left="695" w:hanging="440"/>
    </w:pPr>
  </w:style>
  <w:style w:type="paragraph" w:styleId="TOC2">
    <w:name w:val="toc 2"/>
    <w:basedOn w:val="Normal"/>
    <w:uiPriority w:val="39"/>
    <w:qFormat/>
    <w:pPr>
      <w:spacing w:before="139"/>
      <w:ind w:left="1136" w:hanging="661"/>
    </w:pPr>
  </w:style>
  <w:style w:type="paragraph" w:styleId="TOC3">
    <w:name w:val="toc 3"/>
    <w:basedOn w:val="Normal"/>
    <w:uiPriority w:val="1"/>
    <w:qFormat/>
    <w:pPr>
      <w:spacing w:before="139"/>
      <w:ind w:left="692"/>
    </w:pPr>
  </w:style>
  <w:style w:type="paragraph" w:styleId="TOC4">
    <w:name w:val="toc 4"/>
    <w:basedOn w:val="Normal"/>
    <w:uiPriority w:val="1"/>
    <w:qFormat/>
    <w:pPr>
      <w:spacing w:before="144"/>
      <w:ind w:left="692"/>
    </w:pPr>
    <w:rPr>
      <w:b/>
      <w:bCs/>
      <w:i/>
    </w:rPr>
  </w:style>
  <w:style w:type="paragraph" w:styleId="TOC5">
    <w:name w:val="toc 5"/>
    <w:basedOn w:val="Normal"/>
    <w:uiPriority w:val="1"/>
    <w:qFormat/>
    <w:pPr>
      <w:spacing w:before="139"/>
      <w:ind w:left="1576"/>
    </w:pPr>
  </w:style>
  <w:style w:type="paragraph" w:styleId="BodyText">
    <w:name w:val="Body Text"/>
    <w:basedOn w:val="Normal"/>
    <w:link w:val="BrdtekstTegn"/>
    <w:uiPriority w:val="1"/>
    <w:qFormat/>
    <w:rsid w:val="009F03F0"/>
    <w:pPr>
      <w:spacing w:before="120" w:after="120"/>
    </w:pPr>
    <w:rPr>
      <w:rFonts w:ascii="Cambria" w:hAnsi="Cambria"/>
      <w:sz w:val="24"/>
    </w:rPr>
  </w:style>
  <w:style w:type="paragraph" w:styleId="Title">
    <w:name w:val="Title"/>
    <w:basedOn w:val="Normal"/>
    <w:uiPriority w:val="1"/>
    <w:qFormat/>
    <w:pPr>
      <w:spacing w:before="153"/>
      <w:ind w:left="1539" w:right="1882"/>
      <w:jc w:val="center"/>
    </w:pPr>
    <w:rPr>
      <w:b/>
      <w:bCs/>
      <w:sz w:val="48"/>
      <w:szCs w:val="48"/>
    </w:rPr>
  </w:style>
  <w:style w:type="paragraph" w:styleId="ListParagraph">
    <w:name w:val="List Paragraph"/>
    <w:basedOn w:val="Normal"/>
    <w:uiPriority w:val="1"/>
    <w:qFormat/>
    <w:pPr>
      <w:ind w:left="976" w:hanging="360"/>
    </w:pPr>
  </w:style>
  <w:style w:type="paragraph" w:customStyle="1" w:styleId="TableParagraph">
    <w:name w:val="Table Paragraph"/>
    <w:basedOn w:val="Normal"/>
    <w:uiPriority w:val="1"/>
    <w:qFormat/>
    <w:rsid w:val="00AD7C32"/>
    <w:rPr>
      <w:rFonts w:eastAsia="Arial" w:asciiTheme="minorHAnsi" w:hAnsiTheme="minorHAnsi" w:cs="Arial"/>
      <w:sz w:val="20"/>
    </w:rPr>
  </w:style>
  <w:style w:type="paragraph" w:styleId="NormalWeb">
    <w:name w:val="Normal (Web)"/>
    <w:basedOn w:val="Normal"/>
    <w:uiPriority w:val="99"/>
    <w:unhideWhenUsed/>
    <w:rsid w:val="004A7EC7"/>
    <w:pPr>
      <w:widowControl/>
      <w:autoSpaceDE/>
      <w:autoSpaceDN/>
      <w:spacing w:before="100" w:beforeAutospacing="1" w:after="100" w:afterAutospacing="1"/>
    </w:pPr>
    <w:rPr>
      <w:rFonts w:ascii="Times New Roman" w:hAnsi="Times New Roman" w:eastAsiaTheme="minorHAnsi" w:cs="Times New Roman"/>
      <w:sz w:val="24"/>
      <w:szCs w:val="24"/>
      <w:lang w:eastAsia="nb-NO"/>
    </w:rPr>
  </w:style>
  <w:style w:type="paragraph" w:styleId="Header">
    <w:name w:val="header"/>
    <w:basedOn w:val="Normal"/>
    <w:link w:val="TopptekstTegn"/>
    <w:uiPriority w:val="99"/>
    <w:unhideWhenUsed/>
    <w:rsid w:val="00B054CC"/>
    <w:pPr>
      <w:tabs>
        <w:tab w:val="center" w:pos="4536"/>
        <w:tab w:val="right" w:pos="9072"/>
      </w:tabs>
    </w:pPr>
  </w:style>
  <w:style w:type="character" w:customStyle="1" w:styleId="TopptekstTegn">
    <w:name w:val="Topptekst Tegn"/>
    <w:basedOn w:val="DefaultParagraphFont"/>
    <w:link w:val="Header"/>
    <w:uiPriority w:val="99"/>
    <w:rsid w:val="00B054CC"/>
    <w:rPr>
      <w:rFonts w:ascii="Calibri" w:eastAsia="Calibri" w:hAnsi="Calibri" w:cs="Calibri"/>
    </w:rPr>
  </w:style>
  <w:style w:type="paragraph" w:styleId="Footer">
    <w:name w:val="footer"/>
    <w:basedOn w:val="Normal"/>
    <w:link w:val="BunntekstTegn"/>
    <w:uiPriority w:val="99"/>
    <w:unhideWhenUsed/>
    <w:rsid w:val="00B054CC"/>
    <w:pPr>
      <w:tabs>
        <w:tab w:val="center" w:pos="4536"/>
        <w:tab w:val="right" w:pos="9072"/>
      </w:tabs>
    </w:pPr>
  </w:style>
  <w:style w:type="character" w:customStyle="1" w:styleId="BunntekstTegn">
    <w:name w:val="Bunntekst Tegn"/>
    <w:basedOn w:val="DefaultParagraphFont"/>
    <w:link w:val="Footer"/>
    <w:uiPriority w:val="99"/>
    <w:rsid w:val="00B054CC"/>
    <w:rPr>
      <w:rFonts w:ascii="Calibri" w:eastAsia="Calibri" w:hAnsi="Calibri" w:cs="Calibri"/>
    </w:rPr>
  </w:style>
  <w:style w:type="paragraph" w:customStyle="1" w:styleId="Default">
    <w:name w:val="Default"/>
    <w:rsid w:val="009E5705"/>
    <w:pPr>
      <w:widowControl/>
      <w:adjustRightInd w:val="0"/>
    </w:pPr>
    <w:rPr>
      <w:rFonts w:ascii="Cambria" w:hAnsi="Cambria" w:cs="Cambria"/>
      <w:color w:val="000000"/>
      <w:sz w:val="24"/>
      <w:szCs w:val="24"/>
      <w:lang w:val="nb-NO"/>
    </w:rPr>
  </w:style>
  <w:style w:type="paragraph" w:styleId="BalloonText">
    <w:name w:val="Balloon Text"/>
    <w:basedOn w:val="Normal"/>
    <w:link w:val="BobletekstTegn"/>
    <w:uiPriority w:val="99"/>
    <w:semiHidden/>
    <w:unhideWhenUsed/>
    <w:rsid w:val="00207BF0"/>
    <w:rPr>
      <w:rFonts w:ascii="Segoe UI" w:hAnsi="Segoe UI" w:cs="Segoe UI"/>
      <w:sz w:val="18"/>
      <w:szCs w:val="18"/>
    </w:rPr>
  </w:style>
  <w:style w:type="character" w:customStyle="1" w:styleId="BobletekstTegn">
    <w:name w:val="Bobletekst Tegn"/>
    <w:basedOn w:val="DefaultParagraphFont"/>
    <w:link w:val="BalloonText"/>
    <w:uiPriority w:val="99"/>
    <w:semiHidden/>
    <w:rsid w:val="00207BF0"/>
    <w:rPr>
      <w:rFonts w:ascii="Segoe UI" w:eastAsia="Calibri" w:hAnsi="Segoe UI" w:cs="Segoe UI"/>
      <w:sz w:val="18"/>
      <w:szCs w:val="18"/>
    </w:rPr>
  </w:style>
  <w:style w:type="paragraph" w:styleId="TOCHeading">
    <w:name w:val="TOC Heading"/>
    <w:basedOn w:val="Heading1"/>
    <w:next w:val="Normal"/>
    <w:uiPriority w:val="39"/>
    <w:unhideWhenUsed/>
    <w:qFormat/>
    <w:rsid w:val="004311BF"/>
    <w:pPr>
      <w:keepNext/>
      <w:keepLines/>
      <w:widowControl/>
      <w:autoSpaceDE/>
      <w:autoSpaceDN/>
      <w:spacing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nb-NO"/>
    </w:rPr>
  </w:style>
  <w:style w:type="character" w:styleId="Hyperlink">
    <w:name w:val="Hyperlink"/>
    <w:basedOn w:val="DefaultParagraphFont"/>
    <w:uiPriority w:val="99"/>
    <w:unhideWhenUsed/>
    <w:rsid w:val="004311BF"/>
    <w:rPr>
      <w:color w:val="0000FF" w:themeColor="hyperlink"/>
      <w:u w:val="single"/>
    </w:rPr>
  </w:style>
  <w:style w:type="character" w:styleId="CommentReference">
    <w:name w:val="annotation reference"/>
    <w:basedOn w:val="DefaultParagraphFont"/>
    <w:uiPriority w:val="99"/>
    <w:semiHidden/>
    <w:unhideWhenUsed/>
    <w:rsid w:val="00920576"/>
    <w:rPr>
      <w:sz w:val="16"/>
      <w:szCs w:val="16"/>
    </w:rPr>
  </w:style>
  <w:style w:type="paragraph" w:styleId="CommentText">
    <w:name w:val="annotation text"/>
    <w:basedOn w:val="Normal"/>
    <w:link w:val="MerknadstekstTegn"/>
    <w:uiPriority w:val="99"/>
    <w:semiHidden/>
    <w:unhideWhenUsed/>
    <w:rsid w:val="00920576"/>
    <w:rPr>
      <w:sz w:val="20"/>
      <w:szCs w:val="20"/>
    </w:rPr>
  </w:style>
  <w:style w:type="character" w:customStyle="1" w:styleId="MerknadstekstTegn">
    <w:name w:val="Merknadstekst Tegn"/>
    <w:basedOn w:val="DefaultParagraphFont"/>
    <w:link w:val="CommentText"/>
    <w:uiPriority w:val="99"/>
    <w:semiHidden/>
    <w:rsid w:val="00920576"/>
    <w:rPr>
      <w:rFonts w:ascii="Calibri" w:eastAsia="Calibri" w:hAnsi="Calibri" w:cs="Calibri"/>
      <w:sz w:val="20"/>
      <w:szCs w:val="20"/>
      <w:lang w:val="nb-NO"/>
    </w:rPr>
  </w:style>
  <w:style w:type="paragraph" w:styleId="CommentSubject">
    <w:name w:val="annotation subject"/>
    <w:basedOn w:val="CommentText"/>
    <w:next w:val="CommentText"/>
    <w:link w:val="KommentaremneTegn"/>
    <w:uiPriority w:val="99"/>
    <w:semiHidden/>
    <w:unhideWhenUsed/>
    <w:rsid w:val="00920576"/>
    <w:rPr>
      <w:b/>
      <w:bCs/>
    </w:rPr>
  </w:style>
  <w:style w:type="character" w:customStyle="1" w:styleId="KommentaremneTegn">
    <w:name w:val="Kommentaremne Tegn"/>
    <w:basedOn w:val="MerknadstekstTegn"/>
    <w:link w:val="CommentSubject"/>
    <w:uiPriority w:val="99"/>
    <w:semiHidden/>
    <w:rsid w:val="00920576"/>
    <w:rPr>
      <w:rFonts w:ascii="Calibri" w:eastAsia="Calibri" w:hAnsi="Calibri" w:cs="Calibri"/>
      <w:b/>
      <w:bCs/>
      <w:sz w:val="20"/>
      <w:szCs w:val="20"/>
      <w:lang w:val="nb-NO"/>
    </w:rPr>
  </w:style>
  <w:style w:type="character" w:customStyle="1" w:styleId="BrdtekstTegn">
    <w:name w:val="Brødtekst Tegn"/>
    <w:basedOn w:val="DefaultParagraphFont"/>
    <w:link w:val="BodyText"/>
    <w:uiPriority w:val="1"/>
    <w:rsid w:val="00FA5007"/>
    <w:rPr>
      <w:rFonts w:ascii="Cambria" w:eastAsia="Calibri" w:hAnsi="Cambria" w:cs="Calibri"/>
      <w:sz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A0688-ED92-4632-A10E-9A15D533C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4709</Words>
  <Characters>24960</Characters>
  <Application>Microsoft Office Word</Application>
  <DocSecurity>0</DocSecurity>
  <Lines>208</Lines>
  <Paragraphs>59</Paragraphs>
  <ScaleCrop>false</ScaleCrop>
  <HeadingPairs>
    <vt:vector size="2" baseType="variant">
      <vt:variant>
        <vt:lpstr>Tittel</vt:lpstr>
      </vt:variant>
      <vt:variant>
        <vt:i4>1</vt:i4>
      </vt:variant>
    </vt:vector>
  </HeadingPairs>
  <TitlesOfParts>
    <vt:vector size="1" baseType="lpstr">
      <vt:lpstr>Microsoft Word - Sak 59-20 Strategi for pilotering RLLS vs. 0.8</vt:lpstr>
    </vt:vector>
  </TitlesOfParts>
  <Company>Helse Sør-Øst</Company>
  <LinksUpToDate>false</LinksUpToDate>
  <CharactersWithSpaces>29610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Sak 59-20 Strategi for pilotering RLLS vs. 0.8</dc:title>
  <dc:creator>arvme</dc:creator>
  <cp:lastModifiedBy>Hilde Holm</cp:lastModifiedBy>
  <cp:revision>2</cp:revision>
  <dcterms:created xsi:type="dcterms:W3CDTF">2021-10-19T10:05:00Z</dcterms:created>
  <dcterms:modified xsi:type="dcterms:W3CDTF">2021-10-19T10:05:00Z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2020-12-17T00:00:00Z</vt:filetime>
  </property>
  <property fmtid="{D5CDD505-2E9C-101B-9397-08002B2CF9AE}" pid="3" name="LastSaved">
    <vt:filetime>2021-02-03T00:00:00Z</vt:filetime>
  </property>
</Properties>
</file>